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bidi/>
        <w:jc w:val="center"/>
        <w:spacing w:before="0" w:after="240" w:line="300" w:lineRule="auto"/>
        <w:rPr>
          <w:rtl/>
          <w:sz w:val="36"/>
        </w:rPr>
      </w:pPr>
      <w:r>
        <w:rPr>
          <w:rFonts w:ascii="Tahoma" w:hAnsi="Tahoma" w:cs="Tahoma"/>
          <w:rtl/>
          <w:sz w:val="36"/>
          <w:szCs w:val="36"/>
          <w:b/>
          <w:bCs/>
        </w:rPr>
        <w:t xml:space="preserve">چک‌لیست کنترل نقشه‌های معماری پیش از ارسال به شهرداری</w:t>
      </w:r>
    </w:p>
    <w:p>
      <w:pPr>
        <w:bidi/>
        <w:jc w:val="both"/>
        <w:spacing w:before="0" w:after="12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مهندسین مشاور شهرآرا اثر  |  تلفن: 021-35054  |  info@shahraraasar.com</w:t>
      </w:r>
    </w:p>
    <w:p>
      <w:pPr>
        <w:bidi/>
        <w:jc w:val="center"/>
        <w:spacing w:before="0" w:after="240" w:line="300" w:lineRule="auto"/>
        <w:rPr>
          <w:rtl/>
          <w:sz w:val="36"/>
        </w:rPr>
      </w:pPr>
      <w:r>
        <w:rPr>
          <w:rFonts w:ascii="Tahoma" w:hAnsi="Tahoma" w:cs="Tahoma"/>
          <w:rtl/>
          <w:sz w:val="36"/>
          <w:szCs w:val="36"/>
          <w:b/>
          <w:bCs/>
        </w:rPr>
        <w:t xml:space="preserve">چک‌لیست کنترل نقشه‌های معماری پیش از ارسال به شهرداری</w:t>
      </w:r>
    </w:p>
    <w:p>
      <w:pPr>
        <w:bidi/>
        <w:jc w:val="both"/>
        <w:spacing w:before="0" w:after="12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این چک‌لیست برای کنترل نهایی نقشه‌های فاز 1 و 2 معماری، پیش از ارائه به دفتر کنترل نقشه و شهرداری تنظیم شده است. مبنای بندها، مقررات ملی ساختمان و ضوابط طرح تفصیلی شهر تهران است.</w:t>
      </w:r>
    </w:p>
    <w:p>
      <w:pPr>
        <w:bidi/>
        <w:jc w:val="both"/>
        <w:spacing w:before="240" w:after="120" w:line="300" w:lineRule="auto"/>
        <w:rPr>
          <w:rtl/>
          <w:sz w:val="26"/>
        </w:rPr>
      </w:pPr>
      <w:r>
        <w:rPr>
          <w:rFonts w:ascii="Tahoma" w:hAnsi="Tahoma" w:cs="Tahoma"/>
          <w:rtl/>
          <w:sz w:val="26"/>
          <w:szCs w:val="26"/>
          <w:b/>
          <w:bCs/>
        </w:rPr>
        <w:t xml:space="preserve">بخش ۱ — انطباق با دستور نقشه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سطح اشغال اجراشده در پلان با عدد مجاز دستور نقشه مطابقت دارد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تراکم محاسبه‌شده از حد مجاز تجاوز نمی‌کند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تعداد طبقات با دستور نقشه یکسان است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میزان عقب‌نشینی و تعریض در پلان و سطح اشغال لحاظ شده است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ارتفاع کل ساختمان از حد مجاز معبر مجاور بیشتر نیست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کاربری هر طبقه با کاربری مصوب پروانه یکسان است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پیشروی طولی در طبقات با ضابطه منطقه تطبیق دارد</w:t>
      </w:r>
    </w:p>
    <w:p>
      <w:pPr>
        <w:bidi/>
        <w:jc w:val="both"/>
        <w:spacing w:before="240" w:after="120" w:line="300" w:lineRule="auto"/>
        <w:rPr>
          <w:rtl/>
          <w:sz w:val="26"/>
        </w:rPr>
      </w:pPr>
      <w:r>
        <w:rPr>
          <w:rFonts w:ascii="Tahoma" w:hAnsi="Tahoma" w:cs="Tahoma"/>
          <w:rtl/>
          <w:sz w:val="26"/>
          <w:szCs w:val="26"/>
          <w:b/>
          <w:bCs/>
        </w:rPr>
        <w:t xml:space="preserve">بخش ۲ — پارکینگ و دسترسی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تعداد پارکینگ برابر یا بیشتر از تعداد واحدهاست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ابعاد هر پارکینگ حداقل 2.5 در 5 متر است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شعاع گردش و مسیر مانور خودرو در پلان ترسیم و کنترل شده است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عرض رمپ و شیب آن با ضوابط شهرداری مطابقت دارد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ارتفاع مفید پارکینگ پس از اجرای تأسیسات سقفی حفظ می‌شود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پارکینگ‌ها شماره‌گذاری و به واحدها تخصیص یافته‌اند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پارکینگ مزاحم یا غیرقابل استفاده وجود ندارد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درب پارکینگ در محل مجاز و با عرض مصوب ترسیم شده است</w:t>
      </w:r>
    </w:p>
    <w:p>
      <w:pPr>
        <w:bidi/>
        <w:jc w:val="both"/>
        <w:spacing w:before="240" w:after="120" w:line="300" w:lineRule="auto"/>
        <w:rPr>
          <w:rtl/>
          <w:sz w:val="26"/>
        </w:rPr>
      </w:pPr>
      <w:r>
        <w:rPr>
          <w:rFonts w:ascii="Tahoma" w:hAnsi="Tahoma" w:cs="Tahoma"/>
          <w:rtl/>
          <w:sz w:val="26"/>
          <w:szCs w:val="26"/>
          <w:b/>
          <w:bCs/>
        </w:rPr>
        <w:t xml:space="preserve">بخش ۳ — نور، تهویه و بازشوها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هر اتاق خواب و نشیمن پنجره رو به فضای باز یا حیاط خلوت دارد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ابعاد حیاط خلوت با حداقل ضابطه مساحت و بعد کمینه مطابقت دارد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سطح بازشوی هر فضا نسبت به مساحت آن، حداقل نسبت مقرر را دارد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بازشو در دیوار مشترک با همسایه وجود ندارد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پنجره سرویس بهداشتی و آشپزخانه یا داکت تهویه پیش‌بینی شده است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فاصله پنجره‌ها از مرز مالکیت مطابق ضابطه رعایت شده است</w:t>
      </w:r>
    </w:p>
    <w:p>
      <w:pPr>
        <w:bidi/>
        <w:jc w:val="both"/>
        <w:spacing w:before="240" w:after="120" w:line="300" w:lineRule="auto"/>
        <w:rPr>
          <w:rtl/>
          <w:sz w:val="26"/>
        </w:rPr>
      </w:pPr>
      <w:r>
        <w:rPr>
          <w:rFonts w:ascii="Tahoma" w:hAnsi="Tahoma" w:cs="Tahoma"/>
          <w:rtl/>
          <w:sz w:val="26"/>
          <w:szCs w:val="26"/>
          <w:b/>
          <w:bCs/>
        </w:rPr>
        <w:t xml:space="preserve">بخش ۴ — راه‌پله، آسانسور و ایمنی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عرض مفید راه‌پله مطابق مبحث 3 مقررات ملی است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ابعاد کف پله و ارتفاع آن یکنواخت و در محدوده مجاز است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ارتفاع سردست در زیر پاگرد کمتر از حد مجاز نیست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پله فرار برای ساختمان‌های مشمول پیش‌بینی شده است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ابعاد چاله آسانسور و ارتفاع سرآمد کنترل شده است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درب اتاقک آسانسور در راستای دسترسی مناسب قرار دارد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مسیر خروج اضطراری از هر واحد تا فضای باز ترسیم شده است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محل نصب تجهیزات اطفای حریق در پلان مشخص است</w:t>
      </w:r>
    </w:p>
    <w:p>
      <w:pPr>
        <w:bidi/>
        <w:jc w:val="both"/>
        <w:spacing w:before="240" w:after="120" w:line="300" w:lineRule="auto"/>
        <w:rPr>
          <w:rtl/>
          <w:sz w:val="26"/>
        </w:rPr>
      </w:pPr>
      <w:r>
        <w:rPr>
          <w:rFonts w:ascii="Tahoma" w:hAnsi="Tahoma" w:cs="Tahoma"/>
          <w:rtl/>
          <w:sz w:val="26"/>
          <w:szCs w:val="26"/>
          <w:b/>
          <w:bCs/>
        </w:rPr>
        <w:t xml:space="preserve">بخش ۵ — هماهنگی با سایر رشته‌ها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محل ستون‌ها در پلان معماری با نقشه سازه یکسان است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ضخامت دیوارها با ابعاد نهایی پس از نازک‌کاری محاسبه شده است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داکت‌های تأسیساتی در همه طبقات هم‌راستا و با ابعاد کافی است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محل موتورخانه، تابلو برق و کنتورها در پلان مشخص است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ارتفاع کف تا کف با ضخامت سقف و تیرها سازگار است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محل عبور کانال‌های هوا و لوله‌های اصلی با تیرها تداخل ندارد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محل نصب کولر یا کندانسور در نما پیش‌بینی شده است</w:t>
      </w:r>
    </w:p>
    <w:p>
      <w:pPr>
        <w:bidi/>
        <w:jc w:val="both"/>
        <w:spacing w:before="240" w:after="120" w:line="300" w:lineRule="auto"/>
        <w:rPr>
          <w:rtl/>
          <w:sz w:val="26"/>
        </w:rPr>
      </w:pPr>
      <w:r>
        <w:rPr>
          <w:rFonts w:ascii="Tahoma" w:hAnsi="Tahoma" w:cs="Tahoma"/>
          <w:rtl/>
          <w:sz w:val="26"/>
          <w:szCs w:val="26"/>
          <w:b/>
          <w:bCs/>
        </w:rPr>
        <w:t xml:space="preserve">بخش ۶ — کیفیت ترسیم و اطلاعات شیت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مقیاس همه پلان‌ها، نماها و مقاطع درج شده است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اندازه‌گذاری کامل و بدون تناقض بین پلان و مقطع است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جدول مساحت‌ها با محاسبه سطح اشغال و تراکم همخوان است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جهت شمال، موقعیت ملک و کروکی دسترسی روی شیت درج شده است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نام و شماره پروانه اشتغال مهندس طراح در کادر شیت آمده است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دست‌کم دو مقطع عرضی و طولی از محل پله ترسیم شده است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نمای همه جبهه‌های مشرف به معبر ارائه شده است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شماره صفحه و فهرست نقشه‌ها کامل است</w:t>
      </w:r>
    </w:p>
    <w:p>
      <w:pPr>
        <w:bidi/>
        <w:jc w:val="both"/>
        <w:spacing w:before="240" w:after="120" w:line="300" w:lineRule="auto"/>
        <w:rPr>
          <w:rtl/>
          <w:sz w:val="26"/>
        </w:rPr>
      </w:pPr>
      <w:r>
        <w:rPr>
          <w:rFonts w:ascii="Tahoma" w:hAnsi="Tahoma" w:cs="Tahoma"/>
          <w:rtl/>
          <w:sz w:val="26"/>
          <w:szCs w:val="26"/>
          <w:b/>
          <w:bCs/>
        </w:rPr>
        <w:t xml:space="preserve">بخش ۷ — کنترل نهایی پیش از تحویل</w:t>
      </w:r>
    </w:p>
    <w:tbl>
      <w:tblPr>
        <w:tblStyle w:val="TableGrid"/>
        <w:bidiVisual/>
        <w:tblW w:w="5000" w:type="pct"/>
        <w:tblBorders>
          <w:top w:val="single" w:sz="6" w:color="C7C2B8"/>
          <w:left w:val="single" w:sz="6" w:color="C7C2B8"/>
          <w:bottom w:val="single" w:sz="6" w:color="C7C2B8"/>
          <w:right w:val="single" w:sz="6" w:color="C7C2B8"/>
          <w:insideH w:val="single" w:sz="6" w:color="C7C2B8"/>
          <w:insideV w:val="single" w:sz="6" w:color="C7C2B8"/>
        </w:tblBorders>
      </w:tblPr>
      <w:tr>
        <w:tc>
          <w:tcPr>
            <w:shd w:val="clear" w:fill="F2EAD8"/>
          </w:tcPr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  <w:b/>
                <w:bCs/>
              </w:rPr>
              <w:t xml:space="preserve">مورد</w:t>
            </w:r>
          </w:p>
        </w:tc>
        <w:tc>
          <w:tcPr>
            <w:shd w:val="clear" w:fill="F2EAD8"/>
          </w:tcPr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  <w:b/>
                <w:bCs/>
              </w:rPr>
              <w:t xml:space="preserve">کنترل‌کننده</w:t>
            </w:r>
          </w:p>
        </w:tc>
        <w:tc>
          <w:tcPr>
            <w:shd w:val="clear" w:fill="F2EAD8"/>
          </w:tcPr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  <w:b/>
                <w:bCs/>
              </w:rPr>
              <w:t xml:space="preserve">تاریخ</w:t>
            </w:r>
          </w:p>
        </w:tc>
        <w:tc>
          <w:tcPr>
            <w:shd w:val="clear" w:fill="F2EAD8"/>
          </w:tcPr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  <w:b/>
                <w:bCs/>
              </w:rPr>
              <w:t xml:space="preserve">نتیجه</w:t>
            </w:r>
          </w:p>
        </w:tc>
      </w:tr>
      <w:tr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کنترل انطباق با دستور نقشه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</w:tr>
      <w:tr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کنترل پارکینگ و دسترسی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</w:tr>
      <w:tr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کنترل ایمنی و راه خروج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</w:tr>
      <w:tr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کنترل هماهنگی بین‌رشته‌ای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</w:tr>
      <w:tr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کنترل نهایی مدیر فنی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</w:tr>
    </w:tbl>
    <w:p>
      <w:pPr>
        <w:bidi/>
        <w:jc w:val="both"/>
        <w:spacing w:before="0" w:after="0" w:line="300" w:lineRule="auto"/>
        <w:rPr>
          <w:rtl/>
          <w:sz w:val="12"/>
        </w:rPr>
      </w:pPr>
      <w:r>
        <w:rPr>
          <w:rFonts w:ascii="Tahoma" w:hAnsi="Tahoma" w:cs="Tahoma"/>
          <w:rtl/>
          <w:sz w:val="12"/>
          <w:szCs w:val="12"/>
        </w:rPr>
        <w:t xml:space="preserve"/>
      </w:r>
    </w:p>
    <w:p>
      <w:pPr>
        <w:bidi/>
        <w:jc w:val="both"/>
        <w:spacing w:before="0" w:after="12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بیش از نیمی از برگشت‌های نقشه در دفاتر کنترل، به سه دلیل رخ می‌دهد: مغایرت جدول مساحت با پلان، مانور نامناسب پارکینگ و عدم هماهنگی ستون‌های معماری با سازه. این سه مورد را دو بار کنترل کنید.</w:t>
      </w:r>
    </w:p>
    <w:sectPr>
      <w:bidi/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ahoma" w:hAnsi="Tahoma" w:cs="Tahoma"/>
        <w:sz w:val="22"/>
        <w:szCs w:val="22"/>
      </w:rPr>
    </w:rPrDefault>
  </w:docDefaults>
  <w:style w:type="table" w:styleId="TableGrid">
    <w:name w:val="Table Grid"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