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bidi/>
        <w:jc w:val="center"/>
        <w:spacing w:before="0" w:after="240" w:line="300" w:lineRule="auto"/>
        <w:rPr>
          <w:rtl/>
          <w:sz w:val="36"/>
        </w:rPr>
      </w:pPr>
      <w:r>
        <w:rPr>
          <w:rFonts w:ascii="Tahoma" w:hAnsi="Tahoma" w:cs="Tahoma"/>
          <w:rtl/>
          <w:sz w:val="36"/>
          <w:szCs w:val="36"/>
          <w:b/>
          <w:bCs/>
        </w:rPr>
        <w:t xml:space="preserve">مدارک تفکیک آپارتمان و اخذ سند تک‌برگ</w:t>
      </w:r>
    </w:p>
    <w:p>
      <w:pPr>
        <w:bidi/>
        <w:jc w:val="both"/>
        <w:spacing w:before="0" w:after="120" w:line="300" w:lineRule="auto"/>
        <w:rPr>
          <w:rtl/>
          <w:sz w:val="22"/>
        </w:rPr>
      </w:pPr>
      <w:r>
        <w:rPr>
          <w:rFonts w:ascii="Tahoma" w:hAnsi="Tahoma" w:cs="Tahoma"/>
          <w:rtl/>
          <w:sz w:val="22"/>
          <w:szCs w:val="22"/>
        </w:rPr>
        <w:t xml:space="preserve">مهندسین مشاور شهرآرا اثر  |  تلفن: 021-35054  |  info@shahraraasar.com</w:t>
      </w:r>
    </w:p>
    <w:p>
      <w:pPr>
        <w:bidi/>
        <w:jc w:val="center"/>
        <w:spacing w:before="0" w:after="240" w:line="300" w:lineRule="auto"/>
        <w:rPr>
          <w:rtl/>
          <w:sz w:val="36"/>
        </w:rPr>
      </w:pPr>
      <w:r>
        <w:rPr>
          <w:rFonts w:ascii="Tahoma" w:hAnsi="Tahoma" w:cs="Tahoma"/>
          <w:rtl/>
          <w:sz w:val="36"/>
          <w:szCs w:val="36"/>
          <w:b/>
          <w:bCs/>
        </w:rPr>
        <w:t xml:space="preserve">مدارک تفکیک آپارتمان و اخذ سند تک‌برگ</w:t>
      </w:r>
    </w:p>
    <w:p>
      <w:pPr>
        <w:bidi/>
        <w:jc w:val="both"/>
        <w:spacing w:before="0" w:after="120" w:line="300" w:lineRule="auto"/>
        <w:rPr>
          <w:rtl/>
          <w:sz w:val="22"/>
        </w:rPr>
      </w:pPr>
      <w:r>
        <w:rPr>
          <w:rFonts w:ascii="Tahoma" w:hAnsi="Tahoma" w:cs="Tahoma"/>
          <w:rtl/>
          <w:sz w:val="22"/>
          <w:szCs w:val="22"/>
        </w:rPr>
        <w:t xml:space="preserve">تفکیک، فرایندی است که در آن یک پلاک ثبتی با یک سند مادر، به چند واحد مستقل با اسناد جداگانه تبدیل می‌شود. این فرایند سه مرجع دارد: شهرداری منطقه، اداره ثبت اسناد و املاک و دفترخانه اسناد رسمی. ترتیب مراجعه قابل جابه‌جایی نیست.</w:t>
      </w:r>
    </w:p>
    <w:p>
      <w:pPr>
        <w:bidi/>
        <w:jc w:val="both"/>
        <w:spacing w:before="240" w:after="120" w:line="300" w:lineRule="auto"/>
        <w:rPr>
          <w:rtl/>
          <w:sz w:val="26"/>
        </w:rPr>
      </w:pPr>
      <w:r>
        <w:rPr>
          <w:rFonts w:ascii="Tahoma" w:hAnsi="Tahoma" w:cs="Tahoma"/>
          <w:rtl/>
          <w:sz w:val="26"/>
          <w:szCs w:val="26"/>
          <w:b/>
          <w:bCs/>
        </w:rPr>
        <w:t xml:space="preserve">مرحله ۱ — گواهی پایان کار از شهرداری</w:t>
      </w:r>
    </w:p>
    <w:p>
      <w:pPr>
        <w:bidi/>
        <w:jc w:val="both"/>
        <w:ind w:right="360"/>
        <w:spacing w:before="0" w:after="60" w:line="300" w:lineRule="auto"/>
        <w:rPr>
          <w:rtl/>
          <w:sz w:val="22"/>
        </w:rPr>
      </w:pPr>
      <w:r>
        <w:rPr>
          <w:rFonts w:ascii="Tahoma" w:hAnsi="Tahoma" w:cs="Tahoma"/>
          <w:rtl/>
          <w:sz w:val="22"/>
          <w:szCs w:val="22"/>
        </w:rPr>
        <w:t xml:space="preserve">•  پایان کار باید تعداد و مساحت دقیق هر واحد، انباری و پارکینگ را ذکر کرده باشد.</w:t>
      </w:r>
    </w:p>
    <w:p>
      <w:pPr>
        <w:bidi/>
        <w:jc w:val="both"/>
        <w:ind w:right="360"/>
        <w:spacing w:before="0" w:after="60" w:line="300" w:lineRule="auto"/>
        <w:rPr>
          <w:rtl/>
          <w:sz w:val="22"/>
        </w:rPr>
      </w:pPr>
      <w:r>
        <w:rPr>
          <w:rFonts w:ascii="Tahoma" w:hAnsi="Tahoma" w:cs="Tahoma"/>
          <w:rtl/>
          <w:sz w:val="22"/>
          <w:szCs w:val="22"/>
        </w:rPr>
        <w:t xml:space="preserve">•  پارکینگ‌ها باید شماره‌گذاری‌شده و در پایان کار به تفکیک هر واحد تخصیص یافته باشند.</w:t>
      </w:r>
    </w:p>
    <w:p>
      <w:pPr>
        <w:bidi/>
        <w:jc w:val="both"/>
        <w:ind w:right="360"/>
        <w:spacing w:before="0" w:after="60" w:line="300" w:lineRule="auto"/>
        <w:rPr>
          <w:rtl/>
          <w:sz w:val="22"/>
        </w:rPr>
      </w:pPr>
      <w:r>
        <w:rPr>
          <w:rFonts w:ascii="Tahoma" w:hAnsi="Tahoma" w:cs="Tahoma"/>
          <w:rtl/>
          <w:sz w:val="22"/>
          <w:szCs w:val="22"/>
        </w:rPr>
        <w:t xml:space="preserve">•  مساحت مشاعات (راه‌پله، لابی، موتورخانه، حیاط) باید در پایان کار مشخص باشد.</w:t>
      </w:r>
    </w:p>
    <w:p>
      <w:pPr>
        <w:bidi/>
        <w:jc w:val="both"/>
        <w:ind w:right="360"/>
        <w:spacing w:before="0" w:after="60" w:line="300" w:lineRule="auto"/>
        <w:rPr>
          <w:rtl/>
          <w:sz w:val="22"/>
        </w:rPr>
      </w:pPr>
      <w:r>
        <w:rPr>
          <w:rFonts w:ascii="Tahoma" w:hAnsi="Tahoma" w:cs="Tahoma"/>
          <w:rtl/>
          <w:sz w:val="22"/>
          <w:szCs w:val="22"/>
        </w:rPr>
        <w:t xml:space="preserve">•  هر مغایرت میان پایان کار و وضع موجود، در مرحله نقشه‌برداری ثبت آشکار می‌شود و پرونده را برمی‌گرداند.</w:t>
      </w:r>
    </w:p>
    <w:p>
      <w:pPr>
        <w:bidi/>
        <w:jc w:val="both"/>
        <w:spacing w:before="240" w:after="120" w:line="300" w:lineRule="auto"/>
        <w:rPr>
          <w:rtl/>
          <w:sz w:val="26"/>
        </w:rPr>
      </w:pPr>
      <w:r>
        <w:rPr>
          <w:rFonts w:ascii="Tahoma" w:hAnsi="Tahoma" w:cs="Tahoma"/>
          <w:rtl/>
          <w:sz w:val="26"/>
          <w:szCs w:val="26"/>
          <w:b/>
          <w:bCs/>
        </w:rPr>
        <w:t xml:space="preserve">مرحله ۲ — درخواست صورت‌مجلس تفکیکی از اداره ثبت</w:t>
      </w:r>
    </w:p>
    <w:tbl>
      <w:tblPr>
        <w:tblStyle w:val="TableGrid"/>
        <w:bidiVisual/>
        <w:tblW w:w="5000" w:type="pct"/>
        <w:tblBorders>
          <w:top w:val="single" w:sz="6" w:color="C7C2B8"/>
          <w:left w:val="single" w:sz="6" w:color="C7C2B8"/>
          <w:bottom w:val="single" w:sz="6" w:color="C7C2B8"/>
          <w:right w:val="single" w:sz="6" w:color="C7C2B8"/>
          <w:insideH w:val="single" w:sz="6" w:color="C7C2B8"/>
          <w:insideV w:val="single" w:sz="6" w:color="C7C2B8"/>
        </w:tblBorders>
      </w:tblPr>
      <w:tr>
        <w:tc>
          <w:tcPr>
            <w:shd w:val="clear" w:fill="F2EAD8"/>
          </w:tcPr>
          <w:p>
            <w:pPr>
              <w:bidi/>
              <w:jc w:val="both"/>
              <w:spacing w:before="0" w:after="0" w:line="300" w:lineRule="auto"/>
              <w:rPr>
                <w:rtl/>
                <w:sz w:val="20"/>
              </w:rPr>
            </w:pPr>
            <w:r>
              <w:rPr>
                <w:rFonts w:ascii="Tahoma" w:hAnsi="Tahoma" w:cs="Tahoma"/>
                <w:rtl/>
                <w:sz w:val="20"/>
                <w:szCs w:val="20"/>
                <w:b/>
                <w:bCs/>
              </w:rPr>
              <w:t xml:space="preserve">ردیف</w:t>
            </w:r>
          </w:p>
        </w:tc>
        <w:tc>
          <w:tcPr>
            <w:shd w:val="clear" w:fill="F2EAD8"/>
          </w:tcPr>
          <w:p>
            <w:pPr>
              <w:bidi/>
              <w:jc w:val="both"/>
              <w:spacing w:before="0" w:after="0" w:line="300" w:lineRule="auto"/>
              <w:rPr>
                <w:rtl/>
                <w:sz w:val="20"/>
              </w:rPr>
            </w:pPr>
            <w:r>
              <w:rPr>
                <w:rFonts w:ascii="Tahoma" w:hAnsi="Tahoma" w:cs="Tahoma"/>
                <w:rtl/>
                <w:sz w:val="20"/>
                <w:szCs w:val="20"/>
                <w:b/>
                <w:bCs/>
              </w:rPr>
              <w:t xml:space="preserve">مدرک</w:t>
            </w:r>
          </w:p>
        </w:tc>
        <w:tc>
          <w:tcPr>
            <w:shd w:val="clear" w:fill="F2EAD8"/>
          </w:tcPr>
          <w:p>
            <w:pPr>
              <w:bidi/>
              <w:jc w:val="both"/>
              <w:spacing w:before="0" w:after="0" w:line="300" w:lineRule="auto"/>
              <w:rPr>
                <w:rtl/>
                <w:sz w:val="20"/>
              </w:rPr>
            </w:pPr>
            <w:r>
              <w:rPr>
                <w:rFonts w:ascii="Tahoma" w:hAnsi="Tahoma" w:cs="Tahoma"/>
                <w:rtl/>
                <w:sz w:val="20"/>
                <w:szCs w:val="20"/>
                <w:b/>
                <w:bCs/>
              </w:rPr>
              <w:t xml:space="preserve">توضیح</w:t>
            </w:r>
          </w:p>
        </w:tc>
      </w:tr>
      <w:tr>
        <w:tc>
          <w:p>
            <w:pPr>
              <w:bidi/>
              <w:jc w:val="both"/>
              <w:spacing w:before="0" w:after="0" w:line="300" w:lineRule="auto"/>
              <w:rPr>
                <w:rtl/>
                <w:sz w:val="20"/>
              </w:rPr>
            </w:pPr>
            <w:r>
              <w:rPr>
                <w:rFonts w:ascii="Tahoma" w:hAnsi="Tahoma" w:cs="Tahoma"/>
                <w:rtl/>
                <w:sz w:val="20"/>
                <w:szCs w:val="20"/>
              </w:rPr>
              <w:t xml:space="preserve">1</w:t>
            </w:r>
          </w:p>
        </w:tc>
        <w:tc>
          <w:p>
            <w:pPr>
              <w:bidi/>
              <w:jc w:val="both"/>
              <w:spacing w:before="0" w:after="0" w:line="300" w:lineRule="auto"/>
              <w:rPr>
                <w:rtl/>
                <w:sz w:val="20"/>
              </w:rPr>
            </w:pPr>
            <w:r>
              <w:rPr>
                <w:rFonts w:ascii="Tahoma" w:hAnsi="Tahoma" w:cs="Tahoma"/>
                <w:rtl/>
                <w:sz w:val="20"/>
                <w:szCs w:val="20"/>
              </w:rPr>
              <w:t xml:space="preserve">اصل سند مالکیت مادر</w:t>
            </w:r>
          </w:p>
        </w:tc>
        <w:tc>
          <w:p>
            <w:pPr>
              <w:bidi/>
              <w:jc w:val="both"/>
              <w:spacing w:before="0" w:after="0" w:line="300" w:lineRule="auto"/>
              <w:rPr>
                <w:rtl/>
                <w:sz w:val="20"/>
              </w:rPr>
            </w:pPr>
            <w:r>
              <w:rPr>
                <w:rFonts w:ascii="Tahoma" w:hAnsi="Tahoma" w:cs="Tahoma"/>
                <w:rtl/>
                <w:sz w:val="20"/>
                <w:szCs w:val="20"/>
              </w:rPr>
              <w:t xml:space="preserve">سند شش‌دانگ عرصه و اعیان</w:t>
            </w:r>
          </w:p>
        </w:tc>
      </w:tr>
      <w:tr>
        <w:tc>
          <w:p>
            <w:pPr>
              <w:bidi/>
              <w:jc w:val="both"/>
              <w:spacing w:before="0" w:after="0" w:line="300" w:lineRule="auto"/>
              <w:rPr>
                <w:rtl/>
                <w:sz w:val="20"/>
              </w:rPr>
            </w:pPr>
            <w:r>
              <w:rPr>
                <w:rFonts w:ascii="Tahoma" w:hAnsi="Tahoma" w:cs="Tahoma"/>
                <w:rtl/>
                <w:sz w:val="20"/>
                <w:szCs w:val="20"/>
              </w:rPr>
              <w:t xml:space="preserve">2</w:t>
            </w:r>
          </w:p>
        </w:tc>
        <w:tc>
          <w:p>
            <w:pPr>
              <w:bidi/>
              <w:jc w:val="both"/>
              <w:spacing w:before="0" w:after="0" w:line="300" w:lineRule="auto"/>
              <w:rPr>
                <w:rtl/>
                <w:sz w:val="20"/>
              </w:rPr>
            </w:pPr>
            <w:r>
              <w:rPr>
                <w:rFonts w:ascii="Tahoma" w:hAnsi="Tahoma" w:cs="Tahoma"/>
                <w:rtl/>
                <w:sz w:val="20"/>
                <w:szCs w:val="20"/>
              </w:rPr>
              <w:t xml:space="preserve">اصل گواهی پایان کار ساختمان</w:t>
            </w:r>
          </w:p>
        </w:tc>
        <w:tc>
          <w:p>
            <w:pPr>
              <w:bidi/>
              <w:jc w:val="both"/>
              <w:spacing w:before="0" w:after="0" w:line="300" w:lineRule="auto"/>
              <w:rPr>
                <w:rtl/>
                <w:sz w:val="20"/>
              </w:rPr>
            </w:pPr>
            <w:r>
              <w:rPr>
                <w:rFonts w:ascii="Tahoma" w:hAnsi="Tahoma" w:cs="Tahoma"/>
                <w:rtl/>
                <w:sz w:val="20"/>
                <w:szCs w:val="20"/>
              </w:rPr>
              <w:t xml:space="preserve">صادره از شهرداری منطقه</w:t>
            </w:r>
          </w:p>
        </w:tc>
      </w:tr>
      <w:tr>
        <w:tc>
          <w:p>
            <w:pPr>
              <w:bidi/>
              <w:jc w:val="both"/>
              <w:spacing w:before="0" w:after="0" w:line="300" w:lineRule="auto"/>
              <w:rPr>
                <w:rtl/>
                <w:sz w:val="20"/>
              </w:rPr>
            </w:pPr>
            <w:r>
              <w:rPr>
                <w:rFonts w:ascii="Tahoma" w:hAnsi="Tahoma" w:cs="Tahoma"/>
                <w:rtl/>
                <w:sz w:val="20"/>
                <w:szCs w:val="20"/>
              </w:rPr>
              <w:t xml:space="preserve">3</w:t>
            </w:r>
          </w:p>
        </w:tc>
        <w:tc>
          <w:p>
            <w:pPr>
              <w:bidi/>
              <w:jc w:val="both"/>
              <w:spacing w:before="0" w:after="0" w:line="300" w:lineRule="auto"/>
              <w:rPr>
                <w:rtl/>
                <w:sz w:val="20"/>
              </w:rPr>
            </w:pPr>
            <w:r>
              <w:rPr>
                <w:rFonts w:ascii="Tahoma" w:hAnsi="Tahoma" w:cs="Tahoma"/>
                <w:rtl/>
                <w:sz w:val="20"/>
                <w:szCs w:val="20"/>
              </w:rPr>
              <w:t xml:space="preserve">نقشه تفکیکی با مختصات UTM</w:t>
            </w:r>
          </w:p>
        </w:tc>
        <w:tc>
          <w:p>
            <w:pPr>
              <w:bidi/>
              <w:jc w:val="both"/>
              <w:spacing w:before="0" w:after="0" w:line="300" w:lineRule="auto"/>
              <w:rPr>
                <w:rtl/>
                <w:sz w:val="20"/>
              </w:rPr>
            </w:pPr>
            <w:r>
              <w:rPr>
                <w:rFonts w:ascii="Tahoma" w:hAnsi="Tahoma" w:cs="Tahoma"/>
                <w:rtl/>
                <w:sz w:val="20"/>
                <w:szCs w:val="20"/>
              </w:rPr>
              <w:t xml:space="preserve">تهیه‌شده توسط نقشه‌بردار دارای پروانه اشتغال</w:t>
            </w:r>
          </w:p>
        </w:tc>
      </w:tr>
      <w:tr>
        <w:tc>
          <w:p>
            <w:pPr>
              <w:bidi/>
              <w:jc w:val="both"/>
              <w:spacing w:before="0" w:after="0" w:line="300" w:lineRule="auto"/>
              <w:rPr>
                <w:rtl/>
                <w:sz w:val="20"/>
              </w:rPr>
            </w:pPr>
            <w:r>
              <w:rPr>
                <w:rFonts w:ascii="Tahoma" w:hAnsi="Tahoma" w:cs="Tahoma"/>
                <w:rtl/>
                <w:sz w:val="20"/>
                <w:szCs w:val="20"/>
              </w:rPr>
              <w:t xml:space="preserve">4</w:t>
            </w:r>
          </w:p>
        </w:tc>
        <w:tc>
          <w:p>
            <w:pPr>
              <w:bidi/>
              <w:jc w:val="both"/>
              <w:spacing w:before="0" w:after="0" w:line="300" w:lineRule="auto"/>
              <w:rPr>
                <w:rtl/>
                <w:sz w:val="20"/>
              </w:rPr>
            </w:pPr>
            <w:r>
              <w:rPr>
                <w:rFonts w:ascii="Tahoma" w:hAnsi="Tahoma" w:cs="Tahoma"/>
                <w:rtl/>
                <w:sz w:val="20"/>
                <w:szCs w:val="20"/>
              </w:rPr>
              <w:t xml:space="preserve">درخواست کتبی مالک یا وکیل رسمی</w:t>
            </w:r>
          </w:p>
        </w:tc>
        <w:tc>
          <w:p>
            <w:pPr>
              <w:bidi/>
              <w:jc w:val="both"/>
              <w:spacing w:before="0" w:after="0" w:line="300" w:lineRule="auto"/>
              <w:rPr>
                <w:rtl/>
                <w:sz w:val="20"/>
              </w:rPr>
            </w:pPr>
            <w:r>
              <w:rPr>
                <w:rFonts w:ascii="Tahoma" w:hAnsi="Tahoma" w:cs="Tahoma"/>
                <w:rtl/>
                <w:sz w:val="20"/>
                <w:szCs w:val="20"/>
              </w:rPr>
              <w:t xml:space="preserve">با ذکر پلاک ثبتی اصلی و فرعی</w:t>
            </w:r>
          </w:p>
        </w:tc>
      </w:tr>
      <w:tr>
        <w:tc>
          <w:p>
            <w:pPr>
              <w:bidi/>
              <w:jc w:val="both"/>
              <w:spacing w:before="0" w:after="0" w:line="300" w:lineRule="auto"/>
              <w:rPr>
                <w:rtl/>
                <w:sz w:val="20"/>
              </w:rPr>
            </w:pPr>
            <w:r>
              <w:rPr>
                <w:rFonts w:ascii="Tahoma" w:hAnsi="Tahoma" w:cs="Tahoma"/>
                <w:rtl/>
                <w:sz w:val="20"/>
                <w:szCs w:val="20"/>
              </w:rPr>
              <w:t xml:space="preserve">5</w:t>
            </w:r>
          </w:p>
        </w:tc>
        <w:tc>
          <w:p>
            <w:pPr>
              <w:bidi/>
              <w:jc w:val="both"/>
              <w:spacing w:before="0" w:after="0" w:line="300" w:lineRule="auto"/>
              <w:rPr>
                <w:rtl/>
                <w:sz w:val="20"/>
              </w:rPr>
            </w:pPr>
            <w:r>
              <w:rPr>
                <w:rFonts w:ascii="Tahoma" w:hAnsi="Tahoma" w:cs="Tahoma"/>
                <w:rtl/>
                <w:sz w:val="20"/>
                <w:szCs w:val="20"/>
              </w:rPr>
              <w:t xml:space="preserve">تصویر مدارک هویتی مالکین</w:t>
            </w:r>
          </w:p>
        </w:tc>
        <w:tc>
          <w:p>
            <w:pPr>
              <w:bidi/>
              <w:jc w:val="both"/>
              <w:spacing w:before="0" w:after="0" w:line="300" w:lineRule="auto"/>
              <w:rPr>
                <w:rtl/>
                <w:sz w:val="20"/>
              </w:rPr>
            </w:pPr>
            <w:r>
              <w:rPr>
                <w:rFonts w:ascii="Tahoma" w:hAnsi="Tahoma" w:cs="Tahoma"/>
                <w:rtl/>
                <w:sz w:val="20"/>
                <w:szCs w:val="20"/>
              </w:rPr>
              <w:t xml:space="preserve">کارت ملی و شناسنامه</w:t>
            </w:r>
          </w:p>
        </w:tc>
      </w:tr>
      <w:tr>
        <w:tc>
          <w:p>
            <w:pPr>
              <w:bidi/>
              <w:jc w:val="both"/>
              <w:spacing w:before="0" w:after="0" w:line="300" w:lineRule="auto"/>
              <w:rPr>
                <w:rtl/>
                <w:sz w:val="20"/>
              </w:rPr>
            </w:pPr>
            <w:r>
              <w:rPr>
                <w:rFonts w:ascii="Tahoma" w:hAnsi="Tahoma" w:cs="Tahoma"/>
                <w:rtl/>
                <w:sz w:val="20"/>
                <w:szCs w:val="20"/>
              </w:rPr>
              <w:t xml:space="preserve">6</w:t>
            </w:r>
          </w:p>
        </w:tc>
        <w:tc>
          <w:p>
            <w:pPr>
              <w:bidi/>
              <w:jc w:val="both"/>
              <w:spacing w:before="0" w:after="0" w:line="300" w:lineRule="auto"/>
              <w:rPr>
                <w:rtl/>
                <w:sz w:val="20"/>
              </w:rPr>
            </w:pPr>
            <w:r>
              <w:rPr>
                <w:rFonts w:ascii="Tahoma" w:hAnsi="Tahoma" w:cs="Tahoma"/>
                <w:rtl/>
                <w:sz w:val="20"/>
                <w:szCs w:val="20"/>
              </w:rPr>
              <w:t xml:space="preserve">فیش پرداخت هزینه تفکیک</w:t>
            </w:r>
          </w:p>
        </w:tc>
        <w:tc>
          <w:p>
            <w:pPr>
              <w:bidi/>
              <w:jc w:val="both"/>
              <w:spacing w:before="0" w:after="0" w:line="300" w:lineRule="auto"/>
              <w:rPr>
                <w:rtl/>
                <w:sz w:val="20"/>
              </w:rPr>
            </w:pPr>
            <w:r>
              <w:rPr>
                <w:rFonts w:ascii="Tahoma" w:hAnsi="Tahoma" w:cs="Tahoma"/>
                <w:rtl/>
                <w:sz w:val="20"/>
                <w:szCs w:val="20"/>
              </w:rPr>
              <w:t xml:space="preserve">بر اساس تعرفه سازمان ثبت و مساحت کل</w:t>
            </w:r>
          </w:p>
        </w:tc>
      </w:tr>
      <w:tr>
        <w:tc>
          <w:p>
            <w:pPr>
              <w:bidi/>
              <w:jc w:val="both"/>
              <w:spacing w:before="0" w:after="0" w:line="300" w:lineRule="auto"/>
              <w:rPr>
                <w:rtl/>
                <w:sz w:val="20"/>
              </w:rPr>
            </w:pPr>
            <w:r>
              <w:rPr>
                <w:rFonts w:ascii="Tahoma" w:hAnsi="Tahoma" w:cs="Tahoma"/>
                <w:rtl/>
                <w:sz w:val="20"/>
                <w:szCs w:val="20"/>
              </w:rPr>
              <w:t xml:space="preserve">7</w:t>
            </w:r>
          </w:p>
        </w:tc>
        <w:tc>
          <w:p>
            <w:pPr>
              <w:bidi/>
              <w:jc w:val="both"/>
              <w:spacing w:before="0" w:after="0" w:line="300" w:lineRule="auto"/>
              <w:rPr>
                <w:rtl/>
                <w:sz w:val="20"/>
              </w:rPr>
            </w:pPr>
            <w:r>
              <w:rPr>
                <w:rFonts w:ascii="Tahoma" w:hAnsi="Tahoma" w:cs="Tahoma"/>
                <w:rtl/>
                <w:sz w:val="20"/>
                <w:szCs w:val="20"/>
              </w:rPr>
              <w:t xml:space="preserve">پروانه ساختمانی</w:t>
            </w:r>
          </w:p>
        </w:tc>
        <w:tc>
          <w:p>
            <w:pPr>
              <w:bidi/>
              <w:jc w:val="both"/>
              <w:spacing w:before="0" w:after="0" w:line="300" w:lineRule="auto"/>
              <w:rPr>
                <w:rtl/>
                <w:sz w:val="20"/>
              </w:rPr>
            </w:pPr>
            <w:r>
              <w:rPr>
                <w:rFonts w:ascii="Tahoma" w:hAnsi="Tahoma" w:cs="Tahoma"/>
                <w:rtl/>
                <w:sz w:val="20"/>
                <w:szCs w:val="20"/>
              </w:rPr>
              <w:t xml:space="preserve">برای تطبیق تعداد واحدها</w:t>
            </w:r>
          </w:p>
        </w:tc>
      </w:tr>
    </w:tbl>
    <w:p>
      <w:pPr>
        <w:bidi/>
        <w:jc w:val="both"/>
        <w:spacing w:before="0" w:after="0" w:line="300" w:lineRule="auto"/>
        <w:rPr>
          <w:rtl/>
          <w:sz w:val="12"/>
        </w:rPr>
      </w:pPr>
      <w:r>
        <w:rPr>
          <w:rFonts w:ascii="Tahoma" w:hAnsi="Tahoma" w:cs="Tahoma"/>
          <w:rtl/>
          <w:sz w:val="12"/>
          <w:szCs w:val="12"/>
        </w:rPr>
        <w:t xml:space="preserve"/>
      </w:r>
    </w:p>
    <w:p>
      <w:pPr>
        <w:bidi/>
        <w:jc w:val="both"/>
        <w:spacing w:before="0" w:after="120" w:line="300" w:lineRule="auto"/>
        <w:rPr>
          <w:rtl/>
          <w:sz w:val="22"/>
        </w:rPr>
      </w:pPr>
      <w:r>
        <w:rPr>
          <w:rFonts w:ascii="Tahoma" w:hAnsi="Tahoma" w:cs="Tahoma"/>
          <w:rtl/>
          <w:sz w:val="22"/>
          <w:szCs w:val="22"/>
        </w:rPr>
        <w:t xml:space="preserve">نماینده و نقشه‌بردار اداره ثبت از ساختمان بازدید و مساحت هر واحد را برداشت می‌کنند. حاصل کار، صورت‌مجلس تفکیکی است که سهم هر واحد از عرصه و مشاعات را به‌صورت عدد مشخص می‌کند.</w:t>
      </w:r>
    </w:p>
    <w:p>
      <w:pPr>
        <w:bidi/>
        <w:jc w:val="both"/>
        <w:spacing w:before="240" w:after="120" w:line="300" w:lineRule="auto"/>
        <w:rPr>
          <w:rtl/>
          <w:sz w:val="26"/>
        </w:rPr>
      </w:pPr>
      <w:r>
        <w:rPr>
          <w:rFonts w:ascii="Tahoma" w:hAnsi="Tahoma" w:cs="Tahoma"/>
          <w:rtl/>
          <w:sz w:val="26"/>
          <w:szCs w:val="26"/>
          <w:b/>
          <w:bCs/>
        </w:rPr>
        <w:t xml:space="preserve">مرحله ۳ — مفاصاحساب‌های پیش از تنظیم سند</w:t>
      </w:r>
    </w:p>
    <w:tbl>
      <w:tblPr>
        <w:tblStyle w:val="TableGrid"/>
        <w:bidiVisual/>
        <w:tblW w:w="5000" w:type="pct"/>
        <w:tblBorders>
          <w:top w:val="single" w:sz="6" w:color="C7C2B8"/>
          <w:left w:val="single" w:sz="6" w:color="C7C2B8"/>
          <w:bottom w:val="single" w:sz="6" w:color="C7C2B8"/>
          <w:right w:val="single" w:sz="6" w:color="C7C2B8"/>
          <w:insideH w:val="single" w:sz="6" w:color="C7C2B8"/>
          <w:insideV w:val="single" w:sz="6" w:color="C7C2B8"/>
        </w:tblBorders>
      </w:tblPr>
      <w:tr>
        <w:tc>
          <w:tcPr>
            <w:shd w:val="clear" w:fill="F2EAD8"/>
          </w:tcPr>
          <w:p>
            <w:pPr>
              <w:bidi/>
              <w:jc w:val="both"/>
              <w:spacing w:before="0" w:after="0" w:line="300" w:lineRule="auto"/>
              <w:rPr>
                <w:rtl/>
                <w:sz w:val="20"/>
              </w:rPr>
            </w:pPr>
            <w:r>
              <w:rPr>
                <w:rFonts w:ascii="Tahoma" w:hAnsi="Tahoma" w:cs="Tahoma"/>
                <w:rtl/>
                <w:sz w:val="20"/>
                <w:szCs w:val="20"/>
                <w:b/>
                <w:bCs/>
              </w:rPr>
              <w:t xml:space="preserve">مرجع</w:t>
            </w:r>
          </w:p>
        </w:tc>
        <w:tc>
          <w:tcPr>
            <w:shd w:val="clear" w:fill="F2EAD8"/>
          </w:tcPr>
          <w:p>
            <w:pPr>
              <w:bidi/>
              <w:jc w:val="both"/>
              <w:spacing w:before="0" w:after="0" w:line="300" w:lineRule="auto"/>
              <w:rPr>
                <w:rtl/>
                <w:sz w:val="20"/>
              </w:rPr>
            </w:pPr>
            <w:r>
              <w:rPr>
                <w:rFonts w:ascii="Tahoma" w:hAnsi="Tahoma" w:cs="Tahoma"/>
                <w:rtl/>
                <w:sz w:val="20"/>
                <w:szCs w:val="20"/>
                <w:b/>
                <w:bCs/>
              </w:rPr>
              <w:t xml:space="preserve">مدرک</w:t>
            </w:r>
          </w:p>
        </w:tc>
        <w:tc>
          <w:tcPr>
            <w:shd w:val="clear" w:fill="F2EAD8"/>
          </w:tcPr>
          <w:p>
            <w:pPr>
              <w:bidi/>
              <w:jc w:val="both"/>
              <w:spacing w:before="0" w:after="0" w:line="300" w:lineRule="auto"/>
              <w:rPr>
                <w:rtl/>
                <w:sz w:val="20"/>
              </w:rPr>
            </w:pPr>
            <w:r>
              <w:rPr>
                <w:rFonts w:ascii="Tahoma" w:hAnsi="Tahoma" w:cs="Tahoma"/>
                <w:rtl/>
                <w:sz w:val="20"/>
                <w:szCs w:val="20"/>
                <w:b/>
                <w:bCs/>
              </w:rPr>
              <w:t xml:space="preserve">مهلت اعتبار</w:t>
            </w:r>
          </w:p>
        </w:tc>
      </w:tr>
      <w:tr>
        <w:tc>
          <w:p>
            <w:pPr>
              <w:bidi/>
              <w:jc w:val="both"/>
              <w:spacing w:before="0" w:after="0" w:line="300" w:lineRule="auto"/>
              <w:rPr>
                <w:rtl/>
                <w:sz w:val="20"/>
              </w:rPr>
            </w:pPr>
            <w:r>
              <w:rPr>
                <w:rFonts w:ascii="Tahoma" w:hAnsi="Tahoma" w:cs="Tahoma"/>
                <w:rtl/>
                <w:sz w:val="20"/>
                <w:szCs w:val="20"/>
              </w:rPr>
              <w:t xml:space="preserve">اداره امور مالیاتی</w:t>
            </w:r>
          </w:p>
        </w:tc>
        <w:tc>
          <w:p>
            <w:pPr>
              <w:bidi/>
              <w:jc w:val="both"/>
              <w:spacing w:before="0" w:after="0" w:line="300" w:lineRule="auto"/>
              <w:rPr>
                <w:rtl/>
                <w:sz w:val="20"/>
              </w:rPr>
            </w:pPr>
            <w:r>
              <w:rPr>
                <w:rFonts w:ascii="Tahoma" w:hAnsi="Tahoma" w:cs="Tahoma"/>
                <w:rtl/>
                <w:sz w:val="20"/>
                <w:szCs w:val="20"/>
              </w:rPr>
              <w:t xml:space="preserve">گواهی موضوع ماده 187 قانون مالیات‌های مستقیم</w:t>
            </w:r>
          </w:p>
        </w:tc>
        <w:tc>
          <w:p>
            <w:pPr>
              <w:bidi/>
              <w:jc w:val="both"/>
              <w:spacing w:before="0" w:after="0" w:line="300" w:lineRule="auto"/>
              <w:rPr>
                <w:rtl/>
                <w:sz w:val="20"/>
              </w:rPr>
            </w:pPr>
            <w:r>
              <w:rPr>
                <w:rFonts w:ascii="Tahoma" w:hAnsi="Tahoma" w:cs="Tahoma"/>
                <w:rtl/>
                <w:sz w:val="20"/>
                <w:szCs w:val="20"/>
              </w:rPr>
              <w:t xml:space="preserve">1 ماه</w:t>
            </w:r>
          </w:p>
        </w:tc>
      </w:tr>
      <w:tr>
        <w:tc>
          <w:p>
            <w:pPr>
              <w:bidi/>
              <w:jc w:val="both"/>
              <w:spacing w:before="0" w:after="0" w:line="300" w:lineRule="auto"/>
              <w:rPr>
                <w:rtl/>
                <w:sz w:val="20"/>
              </w:rPr>
            </w:pPr>
            <w:r>
              <w:rPr>
                <w:rFonts w:ascii="Tahoma" w:hAnsi="Tahoma" w:cs="Tahoma"/>
                <w:rtl/>
                <w:sz w:val="20"/>
                <w:szCs w:val="20"/>
              </w:rPr>
              <w:t xml:space="preserve">شهرداری</w:t>
            </w:r>
          </w:p>
        </w:tc>
        <w:tc>
          <w:p>
            <w:pPr>
              <w:bidi/>
              <w:jc w:val="both"/>
              <w:spacing w:before="0" w:after="0" w:line="300" w:lineRule="auto"/>
              <w:rPr>
                <w:rtl/>
                <w:sz w:val="20"/>
              </w:rPr>
            </w:pPr>
            <w:r>
              <w:rPr>
                <w:rFonts w:ascii="Tahoma" w:hAnsi="Tahoma" w:cs="Tahoma"/>
                <w:rtl/>
                <w:sz w:val="20"/>
                <w:szCs w:val="20"/>
              </w:rPr>
              <w:t xml:space="preserve">مفاصاحساب عوارض نوسازی و پسماند</w:t>
            </w:r>
          </w:p>
        </w:tc>
        <w:tc>
          <w:p>
            <w:pPr>
              <w:bidi/>
              <w:jc w:val="both"/>
              <w:spacing w:before="0" w:after="0" w:line="300" w:lineRule="auto"/>
              <w:rPr>
                <w:rtl/>
                <w:sz w:val="20"/>
              </w:rPr>
            </w:pPr>
            <w:r>
              <w:rPr>
                <w:rFonts w:ascii="Tahoma" w:hAnsi="Tahoma" w:cs="Tahoma"/>
                <w:rtl/>
                <w:sz w:val="20"/>
                <w:szCs w:val="20"/>
              </w:rPr>
              <w:t xml:space="preserve">تا پایان سال جاری</w:t>
            </w:r>
          </w:p>
        </w:tc>
      </w:tr>
      <w:tr>
        <w:tc>
          <w:p>
            <w:pPr>
              <w:bidi/>
              <w:jc w:val="both"/>
              <w:spacing w:before="0" w:after="0" w:line="300" w:lineRule="auto"/>
              <w:rPr>
                <w:rtl/>
                <w:sz w:val="20"/>
              </w:rPr>
            </w:pPr>
            <w:r>
              <w:rPr>
                <w:rFonts w:ascii="Tahoma" w:hAnsi="Tahoma" w:cs="Tahoma"/>
                <w:rtl/>
                <w:sz w:val="20"/>
                <w:szCs w:val="20"/>
              </w:rPr>
              <w:t xml:space="preserve">تأمین اجتماعی</w:t>
            </w:r>
          </w:p>
        </w:tc>
        <w:tc>
          <w:p>
            <w:pPr>
              <w:bidi/>
              <w:jc w:val="both"/>
              <w:spacing w:before="0" w:after="0" w:line="300" w:lineRule="auto"/>
              <w:rPr>
                <w:rtl/>
                <w:sz w:val="20"/>
              </w:rPr>
            </w:pPr>
            <w:r>
              <w:rPr>
                <w:rFonts w:ascii="Tahoma" w:hAnsi="Tahoma" w:cs="Tahoma"/>
                <w:rtl/>
                <w:sz w:val="20"/>
                <w:szCs w:val="20"/>
              </w:rPr>
              <w:t xml:space="preserve">مفاصاحساب حق بیمه کارگران ساختمانی</w:t>
            </w:r>
          </w:p>
        </w:tc>
        <w:tc>
          <w:p>
            <w:pPr>
              <w:bidi/>
              <w:jc w:val="both"/>
              <w:spacing w:before="0" w:after="0" w:line="300" w:lineRule="auto"/>
              <w:rPr>
                <w:rtl/>
                <w:sz w:val="20"/>
              </w:rPr>
            </w:pPr>
            <w:r>
              <w:rPr>
                <w:rFonts w:ascii="Tahoma" w:hAnsi="Tahoma" w:cs="Tahoma"/>
                <w:rtl/>
                <w:sz w:val="20"/>
                <w:szCs w:val="20"/>
              </w:rPr>
              <w:t xml:space="preserve">بدون محدودیت</w:t>
            </w:r>
          </w:p>
        </w:tc>
      </w:tr>
      <w:tr>
        <w:tc>
          <w:p>
            <w:pPr>
              <w:bidi/>
              <w:jc w:val="both"/>
              <w:spacing w:before="0" w:after="0" w:line="300" w:lineRule="auto"/>
              <w:rPr>
                <w:rtl/>
                <w:sz w:val="20"/>
              </w:rPr>
            </w:pPr>
            <w:r>
              <w:rPr>
                <w:rFonts w:ascii="Tahoma" w:hAnsi="Tahoma" w:cs="Tahoma"/>
                <w:rtl/>
                <w:sz w:val="20"/>
                <w:szCs w:val="20"/>
              </w:rPr>
              <w:t xml:space="preserve">اداره دارایی</w:t>
            </w:r>
          </w:p>
        </w:tc>
        <w:tc>
          <w:p>
            <w:pPr>
              <w:bidi/>
              <w:jc w:val="both"/>
              <w:spacing w:before="0" w:after="0" w:line="300" w:lineRule="auto"/>
              <w:rPr>
                <w:rtl/>
                <w:sz w:val="20"/>
              </w:rPr>
            </w:pPr>
            <w:r>
              <w:rPr>
                <w:rFonts w:ascii="Tahoma" w:hAnsi="Tahoma" w:cs="Tahoma"/>
                <w:rtl/>
                <w:sz w:val="20"/>
                <w:szCs w:val="20"/>
              </w:rPr>
              <w:t xml:space="preserve">گواهی مالیات بر ارث در املاک ورثه‌ای</w:t>
            </w:r>
          </w:p>
        </w:tc>
        <w:tc>
          <w:p>
            <w:pPr>
              <w:bidi/>
              <w:jc w:val="both"/>
              <w:spacing w:before="0" w:after="0" w:line="300" w:lineRule="auto"/>
              <w:rPr>
                <w:rtl/>
                <w:sz w:val="20"/>
              </w:rPr>
            </w:pPr>
            <w:r>
              <w:rPr>
                <w:rFonts w:ascii="Tahoma" w:hAnsi="Tahoma" w:cs="Tahoma"/>
                <w:rtl/>
                <w:sz w:val="20"/>
                <w:szCs w:val="20"/>
              </w:rPr>
              <w:t xml:space="preserve">بدون محدودیت</w:t>
            </w:r>
          </w:p>
        </w:tc>
      </w:tr>
    </w:tbl>
    <w:p>
      <w:pPr>
        <w:bidi/>
        <w:jc w:val="both"/>
        <w:spacing w:before="0" w:after="0" w:line="300" w:lineRule="auto"/>
        <w:rPr>
          <w:rtl/>
          <w:sz w:val="12"/>
        </w:rPr>
      </w:pPr>
      <w:r>
        <w:rPr>
          <w:rFonts w:ascii="Tahoma" w:hAnsi="Tahoma" w:cs="Tahoma"/>
          <w:rtl/>
          <w:sz w:val="12"/>
          <w:szCs w:val="12"/>
        </w:rPr>
        <w:t xml:space="preserve"/>
      </w:r>
    </w:p>
    <w:p>
      <w:pPr>
        <w:bidi/>
        <w:jc w:val="both"/>
        <w:spacing w:before="240" w:after="120" w:line="300" w:lineRule="auto"/>
        <w:rPr>
          <w:rtl/>
          <w:sz w:val="26"/>
        </w:rPr>
      </w:pPr>
      <w:r>
        <w:rPr>
          <w:rFonts w:ascii="Tahoma" w:hAnsi="Tahoma" w:cs="Tahoma"/>
          <w:rtl/>
          <w:sz w:val="26"/>
          <w:szCs w:val="26"/>
          <w:b/>
          <w:bCs/>
        </w:rPr>
        <w:t xml:space="preserve">مرحله ۴ — تنظیم تقسیم‌نامه در دفترخانه</w:t>
      </w:r>
    </w:p>
    <w:p>
      <w:pPr>
        <w:bidi/>
        <w:jc w:val="both"/>
        <w:spacing w:before="0" w:after="120" w:line="300" w:lineRule="auto"/>
        <w:rPr>
          <w:rtl/>
          <w:sz w:val="22"/>
        </w:rPr>
      </w:pPr>
      <w:r>
        <w:rPr>
          <w:rFonts w:ascii="Tahoma" w:hAnsi="Tahoma" w:cs="Tahoma"/>
          <w:rtl/>
          <w:sz w:val="22"/>
          <w:szCs w:val="22"/>
        </w:rPr>
        <w:t xml:space="preserve">اگر ملک بیش از یک مالک دارد، پس از صورت‌مجلس تفکیکی باید تقسیم‌نامه رسمی تنظیم شود تا مشخص شود هر واحد به کدام مالک تعلق می‌گیرد. در مشارکت در ساخت، تقسیم‌نامه بر اساس قدرالسهم توافق‌شده در قرارداد تنظیم می‌شود.</w:t>
      </w:r>
    </w:p>
    <w:p>
      <w:pPr>
        <w:bidi/>
        <w:jc w:val="both"/>
        <w:ind w:right="360"/>
        <w:spacing w:before="0" w:after="60" w:line="300" w:lineRule="auto"/>
        <w:rPr>
          <w:rtl/>
          <w:sz w:val="22"/>
        </w:rPr>
      </w:pPr>
      <w:r>
        <w:rPr>
          <w:rFonts w:ascii="Tahoma" w:hAnsi="Tahoma" w:cs="Tahoma"/>
          <w:rtl/>
          <w:sz w:val="22"/>
          <w:szCs w:val="22"/>
        </w:rPr>
        <w:t xml:space="preserve">•  حضور همه مالکین یا وکلای رسمی آن‌ها در دفترخانه الزامی است.</w:t>
      </w:r>
    </w:p>
    <w:p>
      <w:pPr>
        <w:bidi/>
        <w:jc w:val="both"/>
        <w:ind w:right="360"/>
        <w:spacing w:before="0" w:after="60" w:line="300" w:lineRule="auto"/>
        <w:rPr>
          <w:rtl/>
          <w:sz w:val="22"/>
        </w:rPr>
      </w:pPr>
      <w:r>
        <w:rPr>
          <w:rFonts w:ascii="Tahoma" w:hAnsi="Tahoma" w:cs="Tahoma"/>
          <w:rtl/>
          <w:sz w:val="22"/>
          <w:szCs w:val="22"/>
        </w:rPr>
        <w:t xml:space="preserve">•  صورت‌مجلس تفکیکی، اصل سند مادر و مفاصاحساب‌ها همراه باشد.</w:t>
      </w:r>
    </w:p>
    <w:p>
      <w:pPr>
        <w:bidi/>
        <w:jc w:val="both"/>
        <w:ind w:right="360"/>
        <w:spacing w:before="0" w:after="60" w:line="300" w:lineRule="auto"/>
        <w:rPr>
          <w:rtl/>
          <w:sz w:val="22"/>
        </w:rPr>
      </w:pPr>
      <w:r>
        <w:rPr>
          <w:rFonts w:ascii="Tahoma" w:hAnsi="Tahoma" w:cs="Tahoma"/>
          <w:rtl/>
          <w:sz w:val="22"/>
          <w:szCs w:val="22"/>
        </w:rPr>
        <w:t xml:space="preserve">•  شماره واحد، طبقه، مساحت، شماره پارکینگ و انباری هر مالک در تقسیم‌نامه قید می‌شود.</w:t>
      </w:r>
    </w:p>
    <w:p>
      <w:pPr>
        <w:bidi/>
        <w:jc w:val="both"/>
        <w:ind w:right="360"/>
        <w:spacing w:before="0" w:after="60" w:line="300" w:lineRule="auto"/>
        <w:rPr>
          <w:rtl/>
          <w:sz w:val="22"/>
        </w:rPr>
      </w:pPr>
      <w:r>
        <w:rPr>
          <w:rFonts w:ascii="Tahoma" w:hAnsi="Tahoma" w:cs="Tahoma"/>
          <w:rtl/>
          <w:sz w:val="22"/>
          <w:szCs w:val="22"/>
        </w:rPr>
        <w:t xml:space="preserve">•  پس از ثبت تقسیم‌نامه، دفترخانه خلاصه معامله را به اداره ثبت ارسال می‌کند.</w:t>
      </w:r>
    </w:p>
    <w:p>
      <w:pPr>
        <w:bidi/>
        <w:jc w:val="both"/>
        <w:spacing w:before="240" w:after="120" w:line="300" w:lineRule="auto"/>
        <w:rPr>
          <w:rtl/>
          <w:sz w:val="26"/>
        </w:rPr>
      </w:pPr>
      <w:r>
        <w:rPr>
          <w:rFonts w:ascii="Tahoma" w:hAnsi="Tahoma" w:cs="Tahoma"/>
          <w:rtl/>
          <w:sz w:val="26"/>
          <w:szCs w:val="26"/>
          <w:b/>
          <w:bCs/>
        </w:rPr>
        <w:t xml:space="preserve">مرحله ۵ — صدور سند تک‌برگ</w:t>
      </w:r>
    </w:p>
    <w:p>
      <w:pPr>
        <w:bidi/>
        <w:jc w:val="both"/>
        <w:ind w:right="360"/>
        <w:spacing w:before="0" w:after="60" w:line="300" w:lineRule="auto"/>
        <w:rPr>
          <w:rtl/>
          <w:sz w:val="22"/>
        </w:rPr>
      </w:pPr>
      <w:r>
        <w:rPr>
          <w:rFonts w:ascii="Tahoma" w:hAnsi="Tahoma" w:cs="Tahoma"/>
          <w:rtl/>
          <w:sz w:val="22"/>
          <w:szCs w:val="22"/>
        </w:rPr>
        <w:t xml:space="preserve">•  اداره ثبت پس از دریافت خلاصه معامله، برای هر واحد سند تک‌برگ صادر می‌کند.</w:t>
      </w:r>
    </w:p>
    <w:p>
      <w:pPr>
        <w:bidi/>
        <w:jc w:val="both"/>
        <w:ind w:right="360"/>
        <w:spacing w:before="0" w:after="60" w:line="300" w:lineRule="auto"/>
        <w:rPr>
          <w:rtl/>
          <w:sz w:val="22"/>
        </w:rPr>
      </w:pPr>
      <w:r>
        <w:rPr>
          <w:rFonts w:ascii="Tahoma" w:hAnsi="Tahoma" w:cs="Tahoma"/>
          <w:rtl/>
          <w:sz w:val="22"/>
          <w:szCs w:val="22"/>
        </w:rPr>
        <w:t xml:space="preserve">•  سند تک‌برگ دارای بارکد، هولوگرام و مختصات جغرافیایی ملک است.</w:t>
      </w:r>
    </w:p>
    <w:p>
      <w:pPr>
        <w:bidi/>
        <w:jc w:val="both"/>
        <w:ind w:right="360"/>
        <w:spacing w:before="0" w:after="60" w:line="300" w:lineRule="auto"/>
        <w:rPr>
          <w:rtl/>
          <w:sz w:val="22"/>
        </w:rPr>
      </w:pPr>
      <w:r>
        <w:rPr>
          <w:rFonts w:ascii="Tahoma" w:hAnsi="Tahoma" w:cs="Tahoma"/>
          <w:rtl/>
          <w:sz w:val="22"/>
          <w:szCs w:val="22"/>
        </w:rPr>
        <w:t xml:space="preserve">•  صدور سند معمولاً 3 تا 8 هفته پس از تنظیم تقسیم‌نامه طول می‌کشد.</w:t>
      </w:r>
    </w:p>
    <w:p>
      <w:pPr>
        <w:bidi/>
        <w:jc w:val="both"/>
        <w:ind w:right="360"/>
        <w:spacing w:before="0" w:after="60" w:line="300" w:lineRule="auto"/>
        <w:rPr>
          <w:rtl/>
          <w:sz w:val="22"/>
        </w:rPr>
      </w:pPr>
      <w:r>
        <w:rPr>
          <w:rFonts w:ascii="Tahoma" w:hAnsi="Tahoma" w:cs="Tahoma"/>
          <w:rtl/>
          <w:sz w:val="22"/>
          <w:szCs w:val="22"/>
        </w:rPr>
        <w:t xml:space="preserve">•  تحویل سند فقط به مالک یا وکیل رسمی با ارائه اصل مدارک هویتی انجام می‌شود.</w:t>
      </w:r>
    </w:p>
    <w:p>
      <w:pPr>
        <w:bidi/>
        <w:jc w:val="both"/>
        <w:spacing w:before="240" w:after="120" w:line="300" w:lineRule="auto"/>
        <w:rPr>
          <w:rtl/>
          <w:sz w:val="26"/>
        </w:rPr>
      </w:pPr>
      <w:r>
        <w:rPr>
          <w:rFonts w:ascii="Tahoma" w:hAnsi="Tahoma" w:cs="Tahoma"/>
          <w:rtl/>
          <w:sz w:val="26"/>
          <w:szCs w:val="26"/>
          <w:b/>
          <w:bCs/>
        </w:rPr>
        <w:t xml:space="preserve">موارد رایج توقف پرونده</w:t>
      </w:r>
    </w:p>
    <w:tbl>
      <w:tblPr>
        <w:tblStyle w:val="TableGrid"/>
        <w:bidiVisual/>
        <w:tblW w:w="5000" w:type="pct"/>
        <w:tblBorders>
          <w:top w:val="single" w:sz="6" w:color="C7C2B8"/>
          <w:left w:val="single" w:sz="6" w:color="C7C2B8"/>
          <w:bottom w:val="single" w:sz="6" w:color="C7C2B8"/>
          <w:right w:val="single" w:sz="6" w:color="C7C2B8"/>
          <w:insideH w:val="single" w:sz="6" w:color="C7C2B8"/>
          <w:insideV w:val="single" w:sz="6" w:color="C7C2B8"/>
        </w:tblBorders>
      </w:tblPr>
      <w:tr>
        <w:tc>
          <w:tcPr>
            <w:shd w:val="clear" w:fill="F2EAD8"/>
          </w:tcPr>
          <w:p>
            <w:pPr>
              <w:bidi/>
              <w:jc w:val="both"/>
              <w:spacing w:before="0" w:after="0" w:line="300" w:lineRule="auto"/>
              <w:rPr>
                <w:rtl/>
                <w:sz w:val="20"/>
              </w:rPr>
            </w:pPr>
            <w:r>
              <w:rPr>
                <w:rFonts w:ascii="Tahoma" w:hAnsi="Tahoma" w:cs="Tahoma"/>
                <w:rtl/>
                <w:sz w:val="20"/>
                <w:szCs w:val="20"/>
                <w:b/>
                <w:bCs/>
              </w:rPr>
              <w:t xml:space="preserve">مشکل</w:t>
            </w:r>
          </w:p>
        </w:tc>
        <w:tc>
          <w:tcPr>
            <w:shd w:val="clear" w:fill="F2EAD8"/>
          </w:tcPr>
          <w:p>
            <w:pPr>
              <w:bidi/>
              <w:jc w:val="both"/>
              <w:spacing w:before="0" w:after="0" w:line="300" w:lineRule="auto"/>
              <w:rPr>
                <w:rtl/>
                <w:sz w:val="20"/>
              </w:rPr>
            </w:pPr>
            <w:r>
              <w:rPr>
                <w:rFonts w:ascii="Tahoma" w:hAnsi="Tahoma" w:cs="Tahoma"/>
                <w:rtl/>
                <w:sz w:val="20"/>
                <w:szCs w:val="20"/>
                <w:b/>
                <w:bCs/>
              </w:rPr>
              <w:t xml:space="preserve">راه‌حل</w:t>
            </w:r>
          </w:p>
        </w:tc>
      </w:tr>
      <w:tr>
        <w:tc>
          <w:p>
            <w:pPr>
              <w:bidi/>
              <w:jc w:val="both"/>
              <w:spacing w:before="0" w:after="0" w:line="300" w:lineRule="auto"/>
              <w:rPr>
                <w:rtl/>
                <w:sz w:val="20"/>
              </w:rPr>
            </w:pPr>
            <w:r>
              <w:rPr>
                <w:rFonts w:ascii="Tahoma" w:hAnsi="Tahoma" w:cs="Tahoma"/>
                <w:rtl/>
                <w:sz w:val="20"/>
                <w:szCs w:val="20"/>
              </w:rPr>
              <w:t xml:space="preserve">مغایرت مساحت اجراشده با پایان کار</w:t>
            </w:r>
          </w:p>
        </w:tc>
        <w:tc>
          <w:p>
            <w:pPr>
              <w:bidi/>
              <w:jc w:val="both"/>
              <w:spacing w:before="0" w:after="0" w:line="300" w:lineRule="auto"/>
              <w:rPr>
                <w:rtl/>
                <w:sz w:val="20"/>
              </w:rPr>
            </w:pPr>
            <w:r>
              <w:rPr>
                <w:rFonts w:ascii="Tahoma" w:hAnsi="Tahoma" w:cs="Tahoma"/>
                <w:rtl/>
                <w:sz w:val="20"/>
                <w:szCs w:val="20"/>
              </w:rPr>
              <w:t xml:space="preserve">اصلاح پایان کار در شهرداری یا اخذ رأی کمیسیون ماده 100</w:t>
            </w:r>
          </w:p>
        </w:tc>
      </w:tr>
      <w:tr>
        <w:tc>
          <w:p>
            <w:pPr>
              <w:bidi/>
              <w:jc w:val="both"/>
              <w:spacing w:before="0" w:after="0" w:line="300" w:lineRule="auto"/>
              <w:rPr>
                <w:rtl/>
                <w:sz w:val="20"/>
              </w:rPr>
            </w:pPr>
            <w:r>
              <w:rPr>
                <w:rFonts w:ascii="Tahoma" w:hAnsi="Tahoma" w:cs="Tahoma"/>
                <w:rtl/>
                <w:sz w:val="20"/>
                <w:szCs w:val="20"/>
              </w:rPr>
              <w:t xml:space="preserve">پارکینگ بدون تخصیص به واحد مشخص</w:t>
            </w:r>
          </w:p>
        </w:tc>
        <w:tc>
          <w:p>
            <w:pPr>
              <w:bidi/>
              <w:jc w:val="both"/>
              <w:spacing w:before="0" w:after="0" w:line="300" w:lineRule="auto"/>
              <w:rPr>
                <w:rtl/>
                <w:sz w:val="20"/>
              </w:rPr>
            </w:pPr>
            <w:r>
              <w:rPr>
                <w:rFonts w:ascii="Tahoma" w:hAnsi="Tahoma" w:cs="Tahoma"/>
                <w:rtl/>
                <w:sz w:val="20"/>
                <w:szCs w:val="20"/>
              </w:rPr>
              <w:t xml:space="preserve">اصلاحیه پایان کار با شماره‌گذاری پارکینگ‌ها</w:t>
            </w:r>
          </w:p>
        </w:tc>
      </w:tr>
      <w:tr>
        <w:tc>
          <w:p>
            <w:pPr>
              <w:bidi/>
              <w:jc w:val="both"/>
              <w:spacing w:before="0" w:after="0" w:line="300" w:lineRule="auto"/>
              <w:rPr>
                <w:rtl/>
                <w:sz w:val="20"/>
              </w:rPr>
            </w:pPr>
            <w:r>
              <w:rPr>
                <w:rFonts w:ascii="Tahoma" w:hAnsi="Tahoma" w:cs="Tahoma"/>
                <w:rtl/>
                <w:sz w:val="20"/>
                <w:szCs w:val="20"/>
              </w:rPr>
              <w:t xml:space="preserve">اختلاف مالکین بر سر واحدها</w:t>
            </w:r>
          </w:p>
        </w:tc>
        <w:tc>
          <w:p>
            <w:pPr>
              <w:bidi/>
              <w:jc w:val="both"/>
              <w:spacing w:before="0" w:after="0" w:line="300" w:lineRule="auto"/>
              <w:rPr>
                <w:rtl/>
                <w:sz w:val="20"/>
              </w:rPr>
            </w:pPr>
            <w:r>
              <w:rPr>
                <w:rFonts w:ascii="Tahoma" w:hAnsi="Tahoma" w:cs="Tahoma"/>
                <w:rtl/>
                <w:sz w:val="20"/>
                <w:szCs w:val="20"/>
              </w:rPr>
              <w:t xml:space="preserve">تنظیم تقسیم‌نامه پس از توافق یا حکم دادگاه</w:t>
            </w:r>
          </w:p>
        </w:tc>
      </w:tr>
      <w:tr>
        <w:tc>
          <w:p>
            <w:pPr>
              <w:bidi/>
              <w:jc w:val="both"/>
              <w:spacing w:before="0" w:after="0" w:line="300" w:lineRule="auto"/>
              <w:rPr>
                <w:rtl/>
                <w:sz w:val="20"/>
              </w:rPr>
            </w:pPr>
            <w:r>
              <w:rPr>
                <w:rFonts w:ascii="Tahoma" w:hAnsi="Tahoma" w:cs="Tahoma"/>
                <w:rtl/>
                <w:sz w:val="20"/>
                <w:szCs w:val="20"/>
              </w:rPr>
              <w:t xml:space="preserve">ملک در رهن بانک</w:t>
            </w:r>
          </w:p>
        </w:tc>
        <w:tc>
          <w:p>
            <w:pPr>
              <w:bidi/>
              <w:jc w:val="both"/>
              <w:spacing w:before="0" w:after="0" w:line="300" w:lineRule="auto"/>
              <w:rPr>
                <w:rtl/>
                <w:sz w:val="20"/>
              </w:rPr>
            </w:pPr>
            <w:r>
              <w:rPr>
                <w:rFonts w:ascii="Tahoma" w:hAnsi="Tahoma" w:cs="Tahoma"/>
                <w:rtl/>
                <w:sz w:val="20"/>
                <w:szCs w:val="20"/>
              </w:rPr>
              <w:t xml:space="preserve">فک رهن یا موافقت کتبی بانک با تفکیک</w:t>
            </w:r>
          </w:p>
        </w:tc>
      </w:tr>
      <w:tr>
        <w:tc>
          <w:p>
            <w:pPr>
              <w:bidi/>
              <w:jc w:val="both"/>
              <w:spacing w:before="0" w:after="0" w:line="300" w:lineRule="auto"/>
              <w:rPr>
                <w:rtl/>
                <w:sz w:val="20"/>
              </w:rPr>
            </w:pPr>
            <w:r>
              <w:rPr>
                <w:rFonts w:ascii="Tahoma" w:hAnsi="Tahoma" w:cs="Tahoma"/>
                <w:rtl/>
                <w:sz w:val="20"/>
                <w:szCs w:val="20"/>
              </w:rPr>
              <w:t xml:space="preserve">عدم تسویه بدهی مالیاتی</w:t>
            </w:r>
          </w:p>
        </w:tc>
        <w:tc>
          <w:p>
            <w:pPr>
              <w:bidi/>
              <w:jc w:val="both"/>
              <w:spacing w:before="0" w:after="0" w:line="300" w:lineRule="auto"/>
              <w:rPr>
                <w:rtl/>
                <w:sz w:val="20"/>
              </w:rPr>
            </w:pPr>
            <w:r>
              <w:rPr>
                <w:rFonts w:ascii="Tahoma" w:hAnsi="Tahoma" w:cs="Tahoma"/>
                <w:rtl/>
                <w:sz w:val="20"/>
                <w:szCs w:val="20"/>
              </w:rPr>
              <w:t xml:space="preserve">پرداخت بدهی و اخذ گواهی ماده 187</w:t>
            </w:r>
          </w:p>
        </w:tc>
      </w:tr>
    </w:tbl>
    <w:p>
      <w:pPr>
        <w:bidi/>
        <w:jc w:val="both"/>
        <w:spacing w:before="0" w:after="0" w:line="300" w:lineRule="auto"/>
        <w:rPr>
          <w:rtl/>
          <w:sz w:val="12"/>
        </w:rPr>
      </w:pPr>
      <w:r>
        <w:rPr>
          <w:rFonts w:ascii="Tahoma" w:hAnsi="Tahoma" w:cs="Tahoma"/>
          <w:rtl/>
          <w:sz w:val="12"/>
          <w:szCs w:val="12"/>
        </w:rPr>
        <w:t xml:space="preserve"/>
      </w:r>
    </w:p>
    <w:p>
      <w:pPr>
        <w:bidi/>
        <w:jc w:val="both"/>
        <w:spacing w:before="240" w:after="120" w:line="300" w:lineRule="auto"/>
        <w:rPr>
          <w:rtl/>
          <w:sz w:val="26"/>
        </w:rPr>
      </w:pPr>
      <w:r>
        <w:rPr>
          <w:rFonts w:ascii="Tahoma" w:hAnsi="Tahoma" w:cs="Tahoma"/>
          <w:rtl/>
          <w:sz w:val="26"/>
          <w:szCs w:val="26"/>
          <w:b/>
          <w:bCs/>
        </w:rPr>
        <w:t xml:space="preserve">هزینه‌های تقریبی</w:t>
      </w:r>
    </w:p>
    <w:p>
      <w:pPr>
        <w:bidi/>
        <w:jc w:val="both"/>
        <w:ind w:right="360"/>
        <w:spacing w:before="0" w:after="60" w:line="300" w:lineRule="auto"/>
        <w:rPr>
          <w:rtl/>
          <w:sz w:val="22"/>
        </w:rPr>
      </w:pPr>
      <w:r>
        <w:rPr>
          <w:rFonts w:ascii="Tahoma" w:hAnsi="Tahoma" w:cs="Tahoma"/>
          <w:rtl/>
          <w:sz w:val="22"/>
          <w:szCs w:val="22"/>
        </w:rPr>
        <w:t xml:space="preserve">•  هزینه نقشه‌برداری تفکیکی بر اساس تعداد واحد و مساحت کل</w:t>
      </w:r>
    </w:p>
    <w:p>
      <w:pPr>
        <w:bidi/>
        <w:jc w:val="both"/>
        <w:ind w:right="360"/>
        <w:spacing w:before="0" w:after="60" w:line="300" w:lineRule="auto"/>
        <w:rPr>
          <w:rtl/>
          <w:sz w:val="22"/>
        </w:rPr>
      </w:pPr>
      <w:r>
        <w:rPr>
          <w:rFonts w:ascii="Tahoma" w:hAnsi="Tahoma" w:cs="Tahoma"/>
          <w:rtl/>
          <w:sz w:val="22"/>
          <w:szCs w:val="22"/>
        </w:rPr>
        <w:t xml:space="preserve">•  هزینه تفکیک اداره ثبت بر مبنای درصدی از ارزش منطقه‌ای ملک</w:t>
      </w:r>
    </w:p>
    <w:p>
      <w:pPr>
        <w:bidi/>
        <w:jc w:val="both"/>
        <w:ind w:right="360"/>
        <w:spacing w:before="0" w:after="60" w:line="300" w:lineRule="auto"/>
        <w:rPr>
          <w:rtl/>
          <w:sz w:val="22"/>
        </w:rPr>
      </w:pPr>
      <w:r>
        <w:rPr>
          <w:rFonts w:ascii="Tahoma" w:hAnsi="Tahoma" w:cs="Tahoma"/>
          <w:rtl/>
          <w:sz w:val="22"/>
          <w:szCs w:val="22"/>
        </w:rPr>
        <w:t xml:space="preserve">•  حق‌التحریر دفترخانه برای تقسیم‌نامه بر اساس تعرفه کانون سردفتران</w:t>
      </w:r>
    </w:p>
    <w:p>
      <w:pPr>
        <w:bidi/>
        <w:jc w:val="both"/>
        <w:ind w:right="360"/>
        <w:spacing w:before="0" w:after="60" w:line="300" w:lineRule="auto"/>
        <w:rPr>
          <w:rtl/>
          <w:sz w:val="22"/>
        </w:rPr>
      </w:pPr>
      <w:r>
        <w:rPr>
          <w:rFonts w:ascii="Tahoma" w:hAnsi="Tahoma" w:cs="Tahoma"/>
          <w:rtl/>
          <w:sz w:val="22"/>
          <w:szCs w:val="22"/>
        </w:rPr>
        <w:t xml:space="preserve">•  مالیات نقل و انتقال در صورت انتقال واحدها به غیر</w:t>
      </w:r>
    </w:p>
    <w:p>
      <w:pPr>
        <w:bidi/>
        <w:jc w:val="both"/>
        <w:spacing w:before="0" w:after="120" w:line="300" w:lineRule="auto"/>
        <w:rPr>
          <w:rtl/>
          <w:sz w:val="22"/>
        </w:rPr>
      </w:pPr>
      <w:r>
        <w:rPr>
          <w:rFonts w:ascii="Tahoma" w:hAnsi="Tahoma" w:cs="Tahoma"/>
          <w:rtl/>
          <w:sz w:val="22"/>
          <w:szCs w:val="22"/>
        </w:rPr>
        <w:t xml:space="preserve">مهندسین مشاور شهرآرا اثر — انجام امور ثبتی، تفکیک و اخذ سند از سال 1374 | 09122279331 | info@shahraraasar.com</w:t>
      </w:r>
    </w:p>
    <w:sectPr>
      <w:bidi/>
      <w:pgSz w:w="11906" w:h="16838"/>
      <w:pgMar w:top="1134" w:right="1134" w:bottom="1134" w:left="1134"/>
    </w:sectPr>
  </w:body>
</w:document>
</file>

<file path=word/styles.xml><?xml version="1.0" encoding="utf-8"?>
<w:styles xmlns:w="http://schemas.openxmlformats.org/wordprocessingml/2006/main">
  <w:docDefaults>
    <w:rPrDefault>
      <w:rPr>
        <w:rFonts w:ascii="Tahoma" w:hAnsi="Tahoma" w:cs="Tahoma"/>
        <w:sz w:val="22"/>
        <w:szCs w:val="22"/>
      </w:rPr>
    </w:rPrDefault>
  </w:docDefaults>
  <w:style w:type="table" w:styleId="TableGrid">
    <w:name w:val="Table Grid"/>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