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bidi/>
        <w:jc w:val="center"/>
        <w:spacing w:before="0" w:after="240" w:line="300" w:lineRule="auto"/>
        <w:rPr>
          <w:rtl/>
          <w:sz w:val="36"/>
        </w:rPr>
      </w:pPr>
      <w:r>
        <w:rPr>
          <w:rFonts w:ascii="Tahoma" w:hAnsi="Tahoma" w:cs="Tahoma"/>
          <w:rtl/>
          <w:sz w:val="36"/>
          <w:szCs w:val="36"/>
          <w:b/>
          <w:bCs/>
        </w:rPr>
        <w:t xml:space="preserve">مدارک تمدید، اصلاح و تعویض نام پروانه ساختمانی</w:t>
      </w:r>
    </w:p>
    <w:p>
      <w:pPr>
        <w:bidi/>
        <w:jc w:val="both"/>
        <w:spacing w:before="0" w:after="12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مهندسین مشاور شهرآرا اثر  |  تلفن: 021-35054  |  info@shahraraasar.com</w:t>
      </w:r>
    </w:p>
    <w:p>
      <w:pPr>
        <w:bidi/>
        <w:jc w:val="center"/>
        <w:spacing w:before="0" w:after="240" w:line="300" w:lineRule="auto"/>
        <w:rPr>
          <w:rtl/>
          <w:sz w:val="36"/>
        </w:rPr>
      </w:pPr>
      <w:r>
        <w:rPr>
          <w:rFonts w:ascii="Tahoma" w:hAnsi="Tahoma" w:cs="Tahoma"/>
          <w:rtl/>
          <w:sz w:val="36"/>
          <w:szCs w:val="36"/>
          <w:b/>
          <w:bCs/>
        </w:rPr>
        <w:t xml:space="preserve">مدارک تمدید، اصلاح و تعویض نام پروانه ساختمانی</w:t>
      </w:r>
    </w:p>
    <w:p>
      <w:pPr>
        <w:bidi/>
        <w:jc w:val="both"/>
        <w:spacing w:before="0" w:after="12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پروانه ساختمانی سه نوع تغییر رایج دارد: تمدید مهلت، اصلاح مشخصات فنی و تعویض نام مالک. هر کدام پرونده و مدارک جداگانه دارد و ترکیب آن‌ها در یک درخواست، بررسی را کند می‌کند.</w:t>
      </w:r>
    </w:p>
    <w:p>
      <w:pPr>
        <w:bidi/>
        <w:jc w:val="both"/>
        <w:spacing w:before="240" w:after="120" w:line="300" w:lineRule="auto"/>
        <w:rPr>
          <w:rtl/>
          <w:sz w:val="26"/>
        </w:rPr>
      </w:pPr>
      <w:r>
        <w:rPr>
          <w:rFonts w:ascii="Tahoma" w:hAnsi="Tahoma" w:cs="Tahoma"/>
          <w:rtl/>
          <w:sz w:val="26"/>
          <w:szCs w:val="26"/>
          <w:b/>
          <w:bCs/>
        </w:rPr>
        <w:t xml:space="preserve">الف — تمدید پروانه</w:t>
      </w:r>
    </w:p>
    <w:p>
      <w:pPr>
        <w:bidi/>
        <w:jc w:val="both"/>
        <w:spacing w:before="0" w:after="12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پروانه ساختمانی از تاریخ صدور مهلت مشخصی برای شروع و اتمام عملیات دارد. اگر در این مهلت کار شروع نشود یا به پایان نرسد، پروانه باید تمدید شود و مابه‌التفاوت عوارض بر اساس تعرفه سال جدید محاسبه می‌شود.</w:t>
      </w:r>
    </w:p>
    <w:tbl>
      <w:tblPr>
        <w:tblStyle w:val="TableGrid"/>
        <w:bidiVisual/>
        <w:tblW w:w="5000" w:type="pct"/>
        <w:tblBorders>
          <w:top w:val="single" w:sz="6" w:color="C7C2B8"/>
          <w:left w:val="single" w:sz="6" w:color="C7C2B8"/>
          <w:bottom w:val="single" w:sz="6" w:color="C7C2B8"/>
          <w:right w:val="single" w:sz="6" w:color="C7C2B8"/>
          <w:insideH w:val="single" w:sz="6" w:color="C7C2B8"/>
          <w:insideV w:val="single" w:sz="6" w:color="C7C2B8"/>
        </w:tblBorders>
      </w:tblPr>
      <w:tr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ردیف</w:t>
            </w:r>
          </w:p>
        </w:tc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مدرک</w:t>
            </w:r>
          </w:p>
        </w:tc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توضیح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1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اصل پروانه ساختمانی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به همراه برگه‌های تمدید قبلی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2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درخواست کتبی مالک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با ذکر علت تأخیر و درصد پیشرفت فیزیکی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3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گزارش آخرین وضعیت ناظر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تأیید میزان پیشرفت کار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4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فیش نوسازی و پسماند سال جاری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همراه با مفاصاحساب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5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تصویر سند مالکیت و کارت ملی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برای تطبیق با پرونده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6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تمدید قرارداد نظارت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در صورت انقضای قرارداد قبلی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7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تمدید بیمه‌نامه پروژه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پوشش تا پایان مهلت جدید</w:t>
            </w:r>
          </w:p>
        </w:tc>
      </w:tr>
    </w:tbl>
    <w:p>
      <w:pPr>
        <w:bidi/>
        <w:jc w:val="both"/>
        <w:spacing w:before="0" w:after="0" w:line="300" w:lineRule="auto"/>
        <w:rPr>
          <w:rtl/>
          <w:sz w:val="12"/>
        </w:rPr>
      </w:pPr>
      <w:r>
        <w:rPr>
          <w:rFonts w:ascii="Tahoma" w:hAnsi="Tahoma" w:cs="Tahoma"/>
          <w:rtl/>
          <w:sz w:val="12"/>
          <w:szCs w:val="12"/>
        </w:rPr>
        <w:t xml:space="preserve"/>
      </w:r>
    </w:p>
    <w:p>
      <w:pPr>
        <w:bidi/>
        <w:jc w:val="both"/>
        <w:spacing w:before="240" w:after="120" w:line="300" w:lineRule="auto"/>
        <w:rPr>
          <w:rtl/>
          <w:sz w:val="26"/>
        </w:rPr>
      </w:pPr>
      <w:r>
        <w:rPr>
          <w:rFonts w:ascii="Tahoma" w:hAnsi="Tahoma" w:cs="Tahoma"/>
          <w:rtl/>
          <w:sz w:val="26"/>
          <w:szCs w:val="26"/>
          <w:b/>
          <w:bCs/>
        </w:rPr>
        <w:t xml:space="preserve">ب — اصلاح پروانه</w:t>
      </w:r>
    </w:p>
    <w:p>
      <w:pPr>
        <w:bidi/>
        <w:jc w:val="both"/>
        <w:spacing w:before="0" w:after="12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هر تغییر در تعداد واحدها، مساحت زیربنا، تعداد طبقات، نوع کاربری یا موقعیت بازشوها نسبت به پروانه صادره، نیازمند اصلاحیه است. اجرای تغییر پیش از دریافت اصلاحیه، تخلف ساختمانی محسوب می‌شود.</w:t>
      </w:r>
    </w:p>
    <w:p>
      <w:pPr>
        <w:bidi/>
        <w:jc w:val="both"/>
        <w:ind w:right="360"/>
        <w:spacing w:before="0" w:after="6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•  اصل پروانه ساختمانی و یک سری کامل نقشه‌های تأییدشده قبلی</w:t>
      </w:r>
    </w:p>
    <w:p>
      <w:pPr>
        <w:bidi/>
        <w:jc w:val="both"/>
        <w:ind w:right="360"/>
        <w:spacing w:before="0" w:after="6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•  نقشه‌های جدید معماری با علامت‌گذاری تغییرات نسبت به نقشه مصوب</w:t>
      </w:r>
    </w:p>
    <w:p>
      <w:pPr>
        <w:bidi/>
        <w:jc w:val="both"/>
        <w:ind w:right="360"/>
        <w:spacing w:before="0" w:after="6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•  دفترچه محاسبات اصلاحی سازه در صورت تغییر بار یا هندسه ساختمان</w:t>
      </w:r>
    </w:p>
    <w:p>
      <w:pPr>
        <w:bidi/>
        <w:jc w:val="both"/>
        <w:ind w:right="360"/>
        <w:spacing w:before="0" w:after="6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•  نقشه‌های اصلاحی تأسیسات مکانیکی و برقی در صورت تغییر پلان</w:t>
      </w:r>
    </w:p>
    <w:p>
      <w:pPr>
        <w:bidi/>
        <w:jc w:val="both"/>
        <w:ind w:right="360"/>
        <w:spacing w:before="0" w:after="6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•  برگ تعهد جدید مهندسان طراح چهار رشته</w:t>
      </w:r>
    </w:p>
    <w:p>
      <w:pPr>
        <w:bidi/>
        <w:jc w:val="both"/>
        <w:ind w:right="360"/>
        <w:spacing w:before="0" w:after="6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•  تأییدیه ناظر بر اجرانشدن بخش‌های در حال تغییر</w:t>
      </w:r>
    </w:p>
    <w:p>
      <w:pPr>
        <w:bidi/>
        <w:jc w:val="both"/>
        <w:ind w:right="360"/>
        <w:spacing w:before="0" w:after="6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•  صورت‌جلسه توافق همه مالکین در املاک مشاعی</w:t>
      </w:r>
    </w:p>
    <w:p>
      <w:pPr>
        <w:bidi/>
        <w:jc w:val="both"/>
        <w:spacing w:before="240" w:after="120" w:line="300" w:lineRule="auto"/>
        <w:rPr>
          <w:rtl/>
          <w:sz w:val="26"/>
        </w:rPr>
      </w:pPr>
      <w:r>
        <w:rPr>
          <w:rFonts w:ascii="Tahoma" w:hAnsi="Tahoma" w:cs="Tahoma"/>
          <w:rtl/>
          <w:sz w:val="26"/>
          <w:szCs w:val="26"/>
          <w:b/>
          <w:bCs/>
        </w:rPr>
        <w:t xml:space="preserve">ج — تعویض نام (انتقال پروانه به مالک جدید)</w:t>
      </w:r>
    </w:p>
    <w:tbl>
      <w:tblPr>
        <w:tblStyle w:val="TableGrid"/>
        <w:bidiVisual/>
        <w:tblW w:w="5000" w:type="pct"/>
        <w:tblBorders>
          <w:top w:val="single" w:sz="6" w:color="C7C2B8"/>
          <w:left w:val="single" w:sz="6" w:color="C7C2B8"/>
          <w:bottom w:val="single" w:sz="6" w:color="C7C2B8"/>
          <w:right w:val="single" w:sz="6" w:color="C7C2B8"/>
          <w:insideH w:val="single" w:sz="6" w:color="C7C2B8"/>
          <w:insideV w:val="single" w:sz="6" w:color="C7C2B8"/>
        </w:tblBorders>
      </w:tblPr>
      <w:tr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ردیف</w:t>
            </w:r>
          </w:p>
        </w:tc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مدرک</w:t>
            </w:r>
          </w:p>
        </w:tc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توضیح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1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سند مالکیت جدید یا خلاصه معامله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به نام مالک جدید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2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اصل پروانه ساختمانی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با نام مالک قبلی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3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تصویر مدارک هویتی مالک جدید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کارت ملی و شناسنامه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4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درخواست کتبی مالک جدید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با تعهد ادامه اجرا مطابق پروانه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5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رضایت‌نامه مالک قبلی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در صورتی که انتقال به‌صورت وکالتی باشد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6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قرارداد جدید نظارت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با معرفی مالک جدید به‌عنوان کارفرما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7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مفاصاحساب نوسازی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به‌روزرسانی‌شده</w:t>
            </w:r>
          </w:p>
        </w:tc>
      </w:tr>
    </w:tbl>
    <w:p>
      <w:pPr>
        <w:bidi/>
        <w:jc w:val="both"/>
        <w:spacing w:before="0" w:after="0" w:line="300" w:lineRule="auto"/>
        <w:rPr>
          <w:rtl/>
          <w:sz w:val="12"/>
        </w:rPr>
      </w:pPr>
      <w:r>
        <w:rPr>
          <w:rFonts w:ascii="Tahoma" w:hAnsi="Tahoma" w:cs="Tahoma"/>
          <w:rtl/>
          <w:sz w:val="12"/>
          <w:szCs w:val="12"/>
        </w:rPr>
        <w:t xml:space="preserve"/>
      </w:r>
    </w:p>
    <w:p>
      <w:pPr>
        <w:bidi/>
        <w:jc w:val="both"/>
        <w:spacing w:before="240" w:after="120" w:line="300" w:lineRule="auto"/>
        <w:rPr>
          <w:rtl/>
          <w:sz w:val="26"/>
        </w:rPr>
      </w:pPr>
      <w:r>
        <w:rPr>
          <w:rFonts w:ascii="Tahoma" w:hAnsi="Tahoma" w:cs="Tahoma"/>
          <w:rtl/>
          <w:sz w:val="26"/>
          <w:szCs w:val="26"/>
          <w:b/>
          <w:bCs/>
        </w:rPr>
        <w:t xml:space="preserve">تفاوت هزینه‌ها</w:t>
      </w:r>
    </w:p>
    <w:tbl>
      <w:tblPr>
        <w:tblStyle w:val="TableGrid"/>
        <w:bidiVisual/>
        <w:tblW w:w="5000" w:type="pct"/>
        <w:tblBorders>
          <w:top w:val="single" w:sz="6" w:color="C7C2B8"/>
          <w:left w:val="single" w:sz="6" w:color="C7C2B8"/>
          <w:bottom w:val="single" w:sz="6" w:color="C7C2B8"/>
          <w:right w:val="single" w:sz="6" w:color="C7C2B8"/>
          <w:insideH w:val="single" w:sz="6" w:color="C7C2B8"/>
          <w:insideV w:val="single" w:sz="6" w:color="C7C2B8"/>
        </w:tblBorders>
      </w:tblPr>
      <w:tr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نوع درخواست</w:t>
            </w:r>
          </w:p>
        </w:tc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مبنای محاسبه هزینه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تمدید بدون تغییر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مابه‌التفاوت عوارض بین سال صدور و سال تمدید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اصلاح با افزایش زیربنا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عوارض زیربنا و پذیره برای متراژ اضافه‌شده به نرخ روز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اصلاح بدون افزایش زیربنا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هزینه بازبینی نقشه و تعرفه خدمات مهندسی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تعویض نام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تعرفه ثابت خدمات اداری شهرداری</w:t>
            </w:r>
          </w:p>
        </w:tc>
      </w:tr>
    </w:tbl>
    <w:p>
      <w:pPr>
        <w:bidi/>
        <w:jc w:val="both"/>
        <w:spacing w:before="0" w:after="0" w:line="300" w:lineRule="auto"/>
        <w:rPr>
          <w:rtl/>
          <w:sz w:val="12"/>
        </w:rPr>
      </w:pPr>
      <w:r>
        <w:rPr>
          <w:rFonts w:ascii="Tahoma" w:hAnsi="Tahoma" w:cs="Tahoma"/>
          <w:rtl/>
          <w:sz w:val="12"/>
          <w:szCs w:val="12"/>
        </w:rPr>
        <w:t xml:space="preserve"/>
      </w:r>
    </w:p>
    <w:p>
      <w:pPr>
        <w:bidi/>
        <w:jc w:val="both"/>
        <w:spacing w:before="240" w:after="120" w:line="300" w:lineRule="auto"/>
        <w:rPr>
          <w:rtl/>
          <w:sz w:val="26"/>
        </w:rPr>
      </w:pPr>
      <w:r>
        <w:rPr>
          <w:rFonts w:ascii="Tahoma" w:hAnsi="Tahoma" w:cs="Tahoma"/>
          <w:rtl/>
          <w:sz w:val="26"/>
          <w:szCs w:val="26"/>
          <w:b/>
          <w:bCs/>
        </w:rPr>
        <w:t xml:space="preserve">نکات کلیدی</w:t>
      </w:r>
    </w:p>
    <w:p>
      <w:pPr>
        <w:bidi/>
        <w:jc w:val="both"/>
        <w:ind w:right="360"/>
        <w:spacing w:before="0" w:after="6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•  درخواست تمدید را پیش از انقضای پروانه ثبت کنید؛ پس از انقضا، پرونده دوباره از مرحله بررسی ضوابط شروع می‌شود.</w:t>
      </w:r>
    </w:p>
    <w:p>
      <w:pPr>
        <w:bidi/>
        <w:jc w:val="both"/>
        <w:ind w:right="360"/>
        <w:spacing w:before="0" w:after="6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•  اگر طرح تفصیلی منطقه بین صدور و تمدید تغییر کرده باشد، شهرداری می‌تواند ضوابط جدید را اعمال کند.</w:t>
      </w:r>
    </w:p>
    <w:p>
      <w:pPr>
        <w:bidi/>
        <w:jc w:val="both"/>
        <w:ind w:right="360"/>
        <w:spacing w:before="0" w:after="6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•  در اصلاح پروانه، فقط بخش‌های اجرانشده قابل تغییر است؛ تغییر بخش اجراشده مسیر کمیسیون ماده 100 را طی می‌کند.</w:t>
      </w:r>
    </w:p>
    <w:p>
      <w:pPr>
        <w:bidi/>
        <w:jc w:val="both"/>
        <w:ind w:right="360"/>
        <w:spacing w:before="0" w:after="6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•  تعویض نام پروانه، تعهدات ناظر و بیمه را خودکار منتقل نمی‌کند و باید جداگانه اصلاح شود.</w:t>
      </w:r>
    </w:p>
    <w:p>
      <w:pPr>
        <w:bidi/>
        <w:jc w:val="both"/>
        <w:spacing w:before="240" w:after="120" w:line="300" w:lineRule="auto"/>
        <w:rPr>
          <w:rtl/>
          <w:sz w:val="26"/>
        </w:rPr>
      </w:pPr>
      <w:r>
        <w:rPr>
          <w:rFonts w:ascii="Tahoma" w:hAnsi="Tahoma" w:cs="Tahoma"/>
          <w:rtl/>
          <w:sz w:val="26"/>
          <w:szCs w:val="26"/>
          <w:b/>
          <w:bCs/>
        </w:rPr>
        <w:t xml:space="preserve">مدت زمان متعارف</w:t>
      </w:r>
    </w:p>
    <w:tbl>
      <w:tblPr>
        <w:tblStyle w:val="TableGrid"/>
        <w:bidiVisual/>
        <w:tblW w:w="5000" w:type="pct"/>
        <w:tblBorders>
          <w:top w:val="single" w:sz="6" w:color="C7C2B8"/>
          <w:left w:val="single" w:sz="6" w:color="C7C2B8"/>
          <w:bottom w:val="single" w:sz="6" w:color="C7C2B8"/>
          <w:right w:val="single" w:sz="6" w:color="C7C2B8"/>
          <w:insideH w:val="single" w:sz="6" w:color="C7C2B8"/>
          <w:insideV w:val="single" w:sz="6" w:color="C7C2B8"/>
        </w:tblBorders>
      </w:tblPr>
      <w:tr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نوع درخواست</w:t>
            </w:r>
          </w:p>
        </w:tc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مدت رسیدگی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تمدید ساده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2 تا 4 هفته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اصلاح جزئی نقشه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3 تا 6 هفته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اصلاح با افزایش طبقه یا واحد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2 تا 4 ماه با احتمال طرح در کمیسیون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تعویض نام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1 تا 3 هفته</w:t>
            </w:r>
          </w:p>
        </w:tc>
      </w:tr>
    </w:tbl>
    <w:p>
      <w:pPr>
        <w:bidi/>
        <w:jc w:val="both"/>
        <w:spacing w:before="0" w:after="0" w:line="300" w:lineRule="auto"/>
        <w:rPr>
          <w:rtl/>
          <w:sz w:val="12"/>
        </w:rPr>
      </w:pPr>
      <w:r>
        <w:rPr>
          <w:rFonts w:ascii="Tahoma" w:hAnsi="Tahoma" w:cs="Tahoma"/>
          <w:rtl/>
          <w:sz w:val="12"/>
          <w:szCs w:val="12"/>
        </w:rPr>
        <w:t xml:space="preserve"/>
      </w:r>
    </w:p>
    <w:p>
      <w:pPr>
        <w:bidi/>
        <w:jc w:val="both"/>
        <w:spacing w:before="0" w:after="12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مهندسین مشاور شهرآرا اثر | تلفن 021-35054 | تهران، خیابان پیروزی، خیابان شاه‌آبادی، خیابان لرستان، نبش کوچه پرستش، پلاک 29</w:t>
      </w:r>
    </w:p>
    <w:sectPr>
      <w:bidi/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ahoma" w:hAnsi="Tahoma" w:cs="Tahoma"/>
        <w:sz w:val="22"/>
        <w:szCs w:val="22"/>
      </w:rPr>
    </w:rPrDefault>
  </w:docDefaults>
  <w:style w:type="table" w:styleId="TableGrid">
    <w:name w:val="Table Grid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