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نمونه قرارداد پیش‌فروش ساختمان</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قرارداد پیش‌فروش ساختمان</w:t>
      </w:r>
    </w:p>
    <w:p>
      <w:pPr>
        <w:bidi/>
        <w:jc w:val="both"/>
        <w:spacing w:before="0" w:after="120" w:line="300" w:lineRule="auto"/>
        <w:rPr>
          <w:rtl/>
          <w:sz w:val="22"/>
        </w:rPr>
      </w:pPr>
      <w:r>
        <w:rPr>
          <w:rFonts w:ascii="Tahoma" w:hAnsi="Tahoma" w:cs="Tahoma"/>
          <w:rtl/>
          <w:sz w:val="22"/>
          <w:szCs w:val="22"/>
        </w:rPr>
        <w:t xml:space="preserve">این قرارداد در تاریخ ......................... در تهران، با رعایت قانون پیش‌فروش ساختمان و آیین‌نامه اجرایی آن، میان طرفین زیر منعقد می‌شود. مطابق مواد 3 و 4 قانون پیش‌فروش ساختمان، تنظیم این قرارداد باید در دفتر اسناد رسمی و با ارائه مدارک زیر انجام شود: سند رسمی مالکیت عرصه، پروانه ساختمانی، شناسنامه فنی و ملکی واحد، بیمه‌نامه مسئولیت موضوع ماده 9 قانون، تأییدیه مهندس ناظر مبنی بر پایان عملیات پی ساختمان، و پاسخ استعلام اداره ثبت اسناد و املاک محل وقوع ملک. بنابراین امضای این قرارداد پیش از اتمام عملیات پی امکان‌پذیر نیست.</w:t>
      </w:r>
    </w:p>
    <w:p>
      <w:pPr>
        <w:bidi/>
        <w:jc w:val="both"/>
        <w:spacing w:before="240" w:after="120" w:line="300" w:lineRule="auto"/>
        <w:rPr>
          <w:rtl/>
          <w:sz w:val="26"/>
        </w:rPr>
      </w:pPr>
      <w:r>
        <w:rPr>
          <w:rFonts w:ascii="Tahoma" w:hAnsi="Tahoma" w:cs="Tahoma"/>
          <w:rtl/>
          <w:sz w:val="26"/>
          <w:szCs w:val="26"/>
          <w:b/>
          <w:bCs/>
        </w:rPr>
        <w:t xml:space="preserve">ماده ۱ — طرفین قرارداد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پیش‌فروشنده</w:t>
            </w:r>
          </w:p>
        </w:tc>
        <w:tc>
          <w:tcPr>
            <w:shd w:val="clear" w:fill="F2EAD8"/>
          </w:tcPr>
          <w:p>
            <w:pPr>
              <w:bidi/>
              <w:jc w:val="both"/>
              <w:spacing w:before="0" w:after="0" w:line="300" w:lineRule="auto"/>
              <w:rPr>
                <w:rtl/>
                <w:sz w:val="20"/>
              </w:rPr>
            </w:pPr>
            <w:r>
              <w:rPr>
                <w:rFonts w:ascii="Tahoma" w:hAnsi="Tahoma" w:cs="Tahoma"/>
                <w:rtl/>
                <w:sz w:val="20"/>
                <w:szCs w:val="20"/>
                <w:b/>
                <w:bCs/>
              </w:rPr>
              <w:t xml:space="preserve">پیش‌خریدار</w:t>
            </w:r>
          </w:p>
        </w:tc>
      </w:tr>
      <w:tr>
        <w:tc>
          <w:p>
            <w:pPr>
              <w:bidi/>
              <w:jc w:val="both"/>
              <w:spacing w:before="0" w:after="0" w:line="300" w:lineRule="auto"/>
              <w:rPr>
                <w:rtl/>
                <w:sz w:val="20"/>
              </w:rPr>
            </w:pPr>
            <w:r>
              <w:rPr>
                <w:rFonts w:ascii="Tahoma" w:hAnsi="Tahoma" w:cs="Tahoma"/>
                <w:rtl/>
                <w:sz w:val="20"/>
                <w:szCs w:val="20"/>
              </w:rPr>
              <w:t xml:space="preserve">نام و نام خانوادگی / شرکت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نام پدر / شناسه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کد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نشانی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تلفن</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۲ — مشخصات ملک و پروانه</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مقدار</w:t>
            </w:r>
          </w:p>
        </w:tc>
      </w:tr>
      <w:tr>
        <w:tc>
          <w:p>
            <w:pPr>
              <w:bidi/>
              <w:jc w:val="both"/>
              <w:spacing w:before="0" w:after="0" w:line="300" w:lineRule="auto"/>
              <w:rPr>
                <w:rtl/>
                <w:sz w:val="20"/>
              </w:rPr>
            </w:pPr>
            <w:r>
              <w:rPr>
                <w:rFonts w:ascii="Tahoma" w:hAnsi="Tahoma" w:cs="Tahoma"/>
                <w:rtl/>
                <w:sz w:val="20"/>
                <w:szCs w:val="20"/>
              </w:rPr>
              <w:t xml:space="preserve">نشانی پروژه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پلاک ثبتی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و تاریخ پروانه ساختمانی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شهرداری منطقه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تعداد کل طبقات و واحدها</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شناسنامه فنی و ملکی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نام مهندس ناظر</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۳ — مشخصات واحد مورد معامله</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مقدار</w:t>
            </w:r>
          </w:p>
        </w:tc>
      </w:tr>
      <w:tr>
        <w:tc>
          <w:p>
            <w:pPr>
              <w:bidi/>
              <w:jc w:val="both"/>
              <w:spacing w:before="0" w:after="0" w:line="300" w:lineRule="auto"/>
              <w:rPr>
                <w:rtl/>
                <w:sz w:val="20"/>
              </w:rPr>
            </w:pPr>
            <w:r>
              <w:rPr>
                <w:rFonts w:ascii="Tahoma" w:hAnsi="Tahoma" w:cs="Tahoma"/>
                <w:rtl/>
                <w:sz w:val="20"/>
                <w:szCs w:val="20"/>
              </w:rPr>
              <w:t xml:space="preserve">شماره واحد و طبقه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مساحت مفید طبق نقشه (متر مربع)</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تعداد اتاق خواب</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و مساحت پارکینگ</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شماره و مساحت انباری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مساحت بالکن یا تراس</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قدرالسهم از عرصه و مشاعات</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جهت جغرافیایی واحد</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۴ — ثمن معامله و نحوه پرداخت</w:t>
      </w:r>
    </w:p>
    <w:p>
      <w:pPr>
        <w:bidi/>
        <w:jc w:val="both"/>
        <w:spacing w:before="0" w:after="120" w:line="300" w:lineRule="auto"/>
        <w:rPr>
          <w:rtl/>
          <w:sz w:val="22"/>
        </w:rPr>
      </w:pPr>
      <w:r>
        <w:rPr>
          <w:rFonts w:ascii="Tahoma" w:hAnsi="Tahoma" w:cs="Tahoma"/>
          <w:rtl/>
          <w:sz w:val="22"/>
          <w:szCs w:val="22"/>
        </w:rPr>
        <w:t xml:space="preserve">بهای کل واحد مبلغ ............................ ریال، معادل هر متر مربع ............................ ریال تعیین می‌شود. پرداخت‌ها متناسب با پیشرفت فیزیکی پروژه و پس از تأیید کتبی مهندس ناظر انجام می‌شود. پیش‌خریدار پیش از تأیید ناظر، تکلیفی به پرداخت اقساط مرحله‌ای ندارد.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قسط</w:t>
            </w:r>
          </w:p>
        </w:tc>
        <w:tc>
          <w:tcPr>
            <w:shd w:val="clear" w:fill="F2EAD8"/>
          </w:tcPr>
          <w:p>
            <w:pPr>
              <w:bidi/>
              <w:jc w:val="both"/>
              <w:spacing w:before="0" w:after="0" w:line="300" w:lineRule="auto"/>
              <w:rPr>
                <w:rtl/>
                <w:sz w:val="20"/>
              </w:rPr>
            </w:pPr>
            <w:r>
              <w:rPr>
                <w:rFonts w:ascii="Tahoma" w:hAnsi="Tahoma" w:cs="Tahoma"/>
                <w:rtl/>
                <w:sz w:val="20"/>
                <w:szCs w:val="20"/>
                <w:b/>
                <w:bCs/>
              </w:rPr>
              <w:t xml:space="preserve">درصد ثمن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مرحله پیشرفت</w:t>
            </w:r>
          </w:p>
        </w:tc>
        <w:tc>
          <w:tcPr>
            <w:shd w:val="clear" w:fill="F2EAD8"/>
          </w:tcPr>
          <w:p>
            <w:pPr>
              <w:bidi/>
              <w:jc w:val="both"/>
              <w:spacing w:before="0" w:after="0" w:line="300" w:lineRule="auto"/>
              <w:rPr>
                <w:rtl/>
                <w:sz w:val="20"/>
              </w:rPr>
            </w:pPr>
            <w:r>
              <w:rPr>
                <w:rFonts w:ascii="Tahoma" w:hAnsi="Tahoma" w:cs="Tahoma"/>
                <w:rtl/>
                <w:sz w:val="20"/>
                <w:szCs w:val="20"/>
                <w:b/>
                <w:bCs/>
              </w:rPr>
              <w:t xml:space="preserve">مبلغ (ریال)</w:t>
            </w:r>
          </w:p>
        </w:tc>
      </w:tr>
      <w:tr>
        <w:tc>
          <w:p>
            <w:pPr>
              <w:bidi/>
              <w:jc w:val="both"/>
              <w:spacing w:before="0" w:after="0" w:line="300" w:lineRule="auto"/>
              <w:rPr>
                <w:rtl/>
                <w:sz w:val="20"/>
              </w:rPr>
            </w:pPr>
            <w:r>
              <w:rPr>
                <w:rFonts w:ascii="Tahoma" w:hAnsi="Tahoma" w:cs="Tahoma"/>
                <w:rtl/>
                <w:sz w:val="20"/>
                <w:szCs w:val="20"/>
              </w:rPr>
              <w:t xml:space="preserve">اول</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همزمان با امضای قرارداد در دفترخانه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دوم</w:t>
            </w:r>
          </w:p>
        </w:tc>
        <w:tc>
          <w:p>
            <w:pPr>
              <w:bidi/>
              <w:jc w:val="both"/>
              <w:spacing w:before="0" w:after="0" w:line="300" w:lineRule="auto"/>
              <w:rPr>
                <w:rtl/>
                <w:sz w:val="20"/>
              </w:rPr>
            </w:pPr>
            <w:r>
              <w:rPr>
                <w:rFonts w:ascii="Tahoma" w:hAnsi="Tahoma" w:cs="Tahoma"/>
                <w:rtl/>
                <w:sz w:val="20"/>
                <w:szCs w:val="20"/>
              </w:rPr>
              <w:t xml:space="preserve">15</w:t>
            </w:r>
          </w:p>
        </w:tc>
        <w:tc>
          <w:p>
            <w:pPr>
              <w:bidi/>
              <w:jc w:val="both"/>
              <w:spacing w:before="0" w:after="0" w:line="300" w:lineRule="auto"/>
              <w:rPr>
                <w:rtl/>
                <w:sz w:val="20"/>
              </w:rPr>
            </w:pPr>
            <w:r>
              <w:rPr>
                <w:rFonts w:ascii="Tahoma" w:hAnsi="Tahoma" w:cs="Tahoma"/>
                <w:rtl/>
                <w:sz w:val="20"/>
                <w:szCs w:val="20"/>
              </w:rPr>
              <w:t xml:space="preserve">اتمام اسکلت تا نیمه طبقات</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سوم</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اتمام اسکلت و سقف آخر</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چهارم</w:t>
            </w:r>
          </w:p>
        </w:tc>
        <w:tc>
          <w:p>
            <w:pPr>
              <w:bidi/>
              <w:jc w:val="both"/>
              <w:spacing w:before="0" w:after="0" w:line="300" w:lineRule="auto"/>
              <w:rPr>
                <w:rtl/>
                <w:sz w:val="20"/>
              </w:rPr>
            </w:pPr>
            <w:r>
              <w:rPr>
                <w:rFonts w:ascii="Tahoma" w:hAnsi="Tahoma" w:cs="Tahoma"/>
                <w:rtl/>
                <w:sz w:val="20"/>
                <w:szCs w:val="20"/>
              </w:rPr>
              <w:t xml:space="preserve">15</w:t>
            </w:r>
          </w:p>
        </w:tc>
        <w:tc>
          <w:p>
            <w:pPr>
              <w:bidi/>
              <w:jc w:val="both"/>
              <w:spacing w:before="0" w:after="0" w:line="300" w:lineRule="auto"/>
              <w:rPr>
                <w:rtl/>
                <w:sz w:val="20"/>
              </w:rPr>
            </w:pPr>
            <w:r>
              <w:rPr>
                <w:rFonts w:ascii="Tahoma" w:hAnsi="Tahoma" w:cs="Tahoma"/>
                <w:rtl/>
                <w:sz w:val="20"/>
                <w:szCs w:val="20"/>
              </w:rPr>
              <w:t xml:space="preserve">اتمام سفت‌کاری و دیوارچینی</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پنجم</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اتمام نازک‌کاری و تأسیسات</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ششم</w:t>
            </w:r>
          </w:p>
        </w:tc>
        <w:tc>
          <w:p>
            <w:pPr>
              <w:bidi/>
              <w:jc w:val="both"/>
              <w:spacing w:before="0" w:after="0" w:line="300" w:lineRule="auto"/>
              <w:rPr>
                <w:rtl/>
                <w:sz w:val="20"/>
              </w:rPr>
            </w:pPr>
            <w:r>
              <w:rPr>
                <w:rFonts w:ascii="Tahoma" w:hAnsi="Tahoma" w:cs="Tahoma"/>
                <w:rtl/>
                <w:sz w:val="20"/>
                <w:szCs w:val="20"/>
              </w:rPr>
              <w:t xml:space="preserve">10</w:t>
            </w:r>
          </w:p>
        </w:tc>
        <w:tc>
          <w:p>
            <w:pPr>
              <w:bidi/>
              <w:jc w:val="both"/>
              <w:spacing w:before="0" w:after="0" w:line="300" w:lineRule="auto"/>
              <w:rPr>
                <w:rtl/>
                <w:sz w:val="20"/>
              </w:rPr>
            </w:pPr>
            <w:r>
              <w:rPr>
                <w:rFonts w:ascii="Tahoma" w:hAnsi="Tahoma" w:cs="Tahoma"/>
                <w:rtl/>
                <w:sz w:val="20"/>
                <w:szCs w:val="20"/>
              </w:rPr>
              <w:t xml:space="preserve">همزمان با تحویل واحد و تنظیم سند</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۵ — زمان تحویل</w:t>
      </w:r>
    </w:p>
    <w:p>
      <w:pPr>
        <w:bidi/>
        <w:jc w:val="both"/>
        <w:spacing w:before="0" w:after="120" w:line="300" w:lineRule="auto"/>
        <w:rPr>
          <w:rtl/>
          <w:sz w:val="22"/>
        </w:rPr>
      </w:pPr>
      <w:r>
        <w:rPr>
          <w:rFonts w:ascii="Tahoma" w:hAnsi="Tahoma" w:cs="Tahoma"/>
          <w:rtl/>
          <w:sz w:val="22"/>
          <w:szCs w:val="22"/>
        </w:rPr>
        <w:t xml:space="preserve">پیش‌فروشنده متعهد است واحد موضوع ماده 3 را با تمام مشخصات ضمیمه شماره 1، حداکثر تا تاریخ ......................... تحویل پیش‌خریدار دهد و صورت‌جلسه تحویل را تنظیم کند. تحویل واحد منوط به پرداخت اقساط سررسیدشده توسط پیش‌خریدار است.</w:t>
      </w:r>
    </w:p>
    <w:p>
      <w:pPr>
        <w:bidi/>
        <w:jc w:val="both"/>
        <w:spacing w:before="240" w:after="120" w:line="300" w:lineRule="auto"/>
        <w:rPr>
          <w:rtl/>
          <w:sz w:val="26"/>
        </w:rPr>
      </w:pPr>
      <w:r>
        <w:rPr>
          <w:rFonts w:ascii="Tahoma" w:hAnsi="Tahoma" w:cs="Tahoma"/>
          <w:rtl/>
          <w:sz w:val="26"/>
          <w:szCs w:val="26"/>
          <w:b/>
          <w:bCs/>
        </w:rPr>
        <w:t xml:space="preserve">ماده ۶ — مشخصات فنی و مصالح</w:t>
      </w:r>
    </w:p>
    <w:p>
      <w:pPr>
        <w:bidi/>
        <w:jc w:val="both"/>
        <w:spacing w:before="0" w:after="120" w:line="300" w:lineRule="auto"/>
        <w:rPr>
          <w:rtl/>
          <w:sz w:val="22"/>
        </w:rPr>
      </w:pPr>
      <w:r>
        <w:rPr>
          <w:rFonts w:ascii="Tahoma" w:hAnsi="Tahoma" w:cs="Tahoma"/>
          <w:rtl/>
          <w:sz w:val="22"/>
          <w:szCs w:val="22"/>
        </w:rPr>
        <w:t xml:space="preserve">نوع اسکلت، مصالح نما، سیستم گرمایش و سرمایش، نوع کف‌پوش، کابینت، درب و پنجره، شیرآلات و سایر اقلام، در ضمیمه شماره 1 با ذکر مارک یا کیفیت معادل تعیین شده است. پیش‌فروشنده حق تغییر این اقلام به کیفیت پایین‌تر را ندارد. تغییر به کیفیت معادل یا بالاتر، در صورت توقف تولید یا عدم موجودی، با اعلام کتبی و بدون افزایش قیمت مجاز است.</w:t>
      </w:r>
    </w:p>
    <w:p>
      <w:pPr>
        <w:bidi/>
        <w:jc w:val="both"/>
        <w:spacing w:before="240" w:after="120" w:line="300" w:lineRule="auto"/>
        <w:rPr>
          <w:rtl/>
          <w:sz w:val="26"/>
        </w:rPr>
      </w:pPr>
      <w:r>
        <w:rPr>
          <w:rFonts w:ascii="Tahoma" w:hAnsi="Tahoma" w:cs="Tahoma"/>
          <w:rtl/>
          <w:sz w:val="26"/>
          <w:szCs w:val="26"/>
          <w:b/>
          <w:bCs/>
        </w:rPr>
        <w:t xml:space="preserve">ماده ۷ — کسری یا اضافه مساحت</w:t>
      </w:r>
    </w:p>
    <w:p>
      <w:pPr>
        <w:bidi/>
        <w:jc w:val="both"/>
        <w:spacing w:before="0" w:after="120" w:line="300" w:lineRule="auto"/>
        <w:rPr>
          <w:rtl/>
          <w:sz w:val="22"/>
        </w:rPr>
      </w:pPr>
      <w:r>
        <w:rPr>
          <w:rFonts w:ascii="Tahoma" w:hAnsi="Tahoma" w:cs="Tahoma"/>
          <w:rtl/>
          <w:sz w:val="22"/>
          <w:szCs w:val="22"/>
        </w:rPr>
        <w:t xml:space="preserve">پس از صدور صورت‌مجلس تفکیکی، اگر مساحت واحد کمتر یا بیشتر از مساحت ماده 3 باشد، مابه‌التفاوت بر مبنای قیمت هر متر مربع مندرج در ماده 4 محاسبه و تسویه می‌شود. مطابق ماده 7 قانون پیش‌فروش ساختمان: اگر مساحت تحویلی تا 5 درصد بیشتر از مساحت ماده 3 باشد، هیچ‌یک از طرفین حق فسخ ندارند و صرفاً مابه‌التفاوت پرداخت می‌شود؛ اگر بیش از 5 درصد بیشتر باشد، حق فسخ فقط برای پیش‌خریدار است؛ و چنانچه مساحت تحویلی کمتر از 95 درصد مساحت ماده 3 باشد، پیش‌خریدار می‌تواند قرارداد را فسخ و تمام وجوه پرداختی را مسترد کند یا خسارت وارده را بر مبنای قیمت روز بنا و نظر کارشناس رسمی دادگستری مطالبه نماید.</w:t>
      </w:r>
    </w:p>
    <w:p>
      <w:pPr>
        <w:bidi/>
        <w:jc w:val="both"/>
        <w:spacing w:before="240" w:after="120" w:line="300" w:lineRule="auto"/>
        <w:rPr>
          <w:rtl/>
          <w:sz w:val="26"/>
        </w:rPr>
      </w:pPr>
      <w:r>
        <w:rPr>
          <w:rFonts w:ascii="Tahoma" w:hAnsi="Tahoma" w:cs="Tahoma"/>
          <w:rtl/>
          <w:sz w:val="26"/>
          <w:szCs w:val="26"/>
          <w:b/>
          <w:bCs/>
        </w:rPr>
        <w:t xml:space="preserve">ماده ۸ — تعهدات پیش‌فروشنده</w:t>
      </w:r>
    </w:p>
    <w:p>
      <w:pPr>
        <w:bidi/>
        <w:jc w:val="both"/>
        <w:ind w:right="360"/>
        <w:spacing w:before="0" w:after="60" w:line="300" w:lineRule="auto"/>
        <w:rPr>
          <w:rtl/>
          <w:sz w:val="22"/>
        </w:rPr>
      </w:pPr>
      <w:r>
        <w:rPr>
          <w:rFonts w:ascii="Tahoma" w:hAnsi="Tahoma" w:cs="Tahoma"/>
          <w:rtl/>
          <w:sz w:val="22"/>
          <w:szCs w:val="22"/>
        </w:rPr>
        <w:t xml:space="preserve">•  اجرای ساختمان مطابق پروانه، نقشه‌های مصوب و مقررات ملی ساختمان.</w:t>
      </w:r>
    </w:p>
    <w:p>
      <w:pPr>
        <w:bidi/>
        <w:jc w:val="both"/>
        <w:ind w:right="360"/>
        <w:spacing w:before="0" w:after="60" w:line="300" w:lineRule="auto"/>
        <w:rPr>
          <w:rtl/>
          <w:sz w:val="22"/>
        </w:rPr>
      </w:pPr>
      <w:r>
        <w:rPr>
          <w:rFonts w:ascii="Tahoma" w:hAnsi="Tahoma" w:cs="Tahoma"/>
          <w:rtl/>
          <w:sz w:val="22"/>
          <w:szCs w:val="22"/>
        </w:rPr>
        <w:t xml:space="preserve">•  بیمه کردن مسئولیت پروژه و جبران خسارت اشخاص ثالث.</w:t>
      </w:r>
    </w:p>
    <w:p>
      <w:pPr>
        <w:bidi/>
        <w:jc w:val="both"/>
        <w:ind w:right="360"/>
        <w:spacing w:before="0" w:after="60" w:line="300" w:lineRule="auto"/>
        <w:rPr>
          <w:rtl/>
          <w:sz w:val="22"/>
        </w:rPr>
      </w:pPr>
      <w:r>
        <w:rPr>
          <w:rFonts w:ascii="Tahoma" w:hAnsi="Tahoma" w:cs="Tahoma"/>
          <w:rtl/>
          <w:sz w:val="22"/>
          <w:szCs w:val="22"/>
        </w:rPr>
        <w:t xml:space="preserve">•  اخذ گواهی پایان کار و صورت‌مجلس تفکیکی ظرف حداکثر ............ ماه پس از اتمام عملیات.</w:t>
      </w:r>
    </w:p>
    <w:p>
      <w:pPr>
        <w:bidi/>
        <w:jc w:val="both"/>
        <w:ind w:right="360"/>
        <w:spacing w:before="0" w:after="60" w:line="300" w:lineRule="auto"/>
        <w:rPr>
          <w:rtl/>
          <w:sz w:val="22"/>
        </w:rPr>
      </w:pPr>
      <w:r>
        <w:rPr>
          <w:rFonts w:ascii="Tahoma" w:hAnsi="Tahoma" w:cs="Tahoma"/>
          <w:rtl/>
          <w:sz w:val="22"/>
          <w:szCs w:val="22"/>
        </w:rPr>
        <w:t xml:space="preserve">•  حضور در دفترخانه برای تنظیم سند رسمی انتقال به نام پیش‌خریدار ظرف 30 روز از اعلام آمادگی.</w:t>
      </w:r>
    </w:p>
    <w:p>
      <w:pPr>
        <w:bidi/>
        <w:jc w:val="both"/>
        <w:ind w:right="360"/>
        <w:spacing w:before="0" w:after="60" w:line="300" w:lineRule="auto"/>
        <w:rPr>
          <w:rtl/>
          <w:sz w:val="22"/>
        </w:rPr>
      </w:pPr>
      <w:r>
        <w:rPr>
          <w:rFonts w:ascii="Tahoma" w:hAnsi="Tahoma" w:cs="Tahoma"/>
          <w:rtl/>
          <w:sz w:val="22"/>
          <w:szCs w:val="22"/>
        </w:rPr>
        <w:t xml:space="preserve">•  عدم انتقال، رهن یا ایجاد حق برای ثالث نسبت به واحد موضوع این قرارداد.</w:t>
      </w:r>
    </w:p>
    <w:p>
      <w:pPr>
        <w:bidi/>
        <w:jc w:val="both"/>
        <w:ind w:right="360"/>
        <w:spacing w:before="0" w:after="60" w:line="300" w:lineRule="auto"/>
        <w:rPr>
          <w:rtl/>
          <w:sz w:val="22"/>
        </w:rPr>
      </w:pPr>
      <w:r>
        <w:rPr>
          <w:rFonts w:ascii="Tahoma" w:hAnsi="Tahoma" w:cs="Tahoma"/>
          <w:rtl/>
          <w:sz w:val="22"/>
          <w:szCs w:val="22"/>
        </w:rPr>
        <w:t xml:space="preserve">•  ارائه تصویر پروانه، شناسنامه فنی و ملکی و بیمه‌نامه به پیش‌خریدار.</w:t>
      </w:r>
    </w:p>
    <w:p>
      <w:pPr>
        <w:bidi/>
        <w:jc w:val="both"/>
        <w:ind w:right="360"/>
        <w:spacing w:before="0" w:after="60" w:line="300" w:lineRule="auto"/>
        <w:rPr>
          <w:rtl/>
          <w:sz w:val="22"/>
        </w:rPr>
      </w:pPr>
      <w:r>
        <w:rPr>
          <w:rFonts w:ascii="Tahoma" w:hAnsi="Tahoma" w:cs="Tahoma"/>
          <w:rtl/>
          <w:sz w:val="22"/>
          <w:szCs w:val="22"/>
        </w:rPr>
        <w:t xml:space="preserve">•  پرداخت تمام عوارض، جرایم و بدهی‌های ملک تا زمان تحویل.</w:t>
      </w:r>
    </w:p>
    <w:p>
      <w:pPr>
        <w:bidi/>
        <w:jc w:val="both"/>
        <w:spacing w:before="240" w:after="120" w:line="300" w:lineRule="auto"/>
        <w:rPr>
          <w:rtl/>
          <w:sz w:val="26"/>
        </w:rPr>
      </w:pPr>
      <w:r>
        <w:rPr>
          <w:rFonts w:ascii="Tahoma" w:hAnsi="Tahoma" w:cs="Tahoma"/>
          <w:rtl/>
          <w:sz w:val="26"/>
          <w:szCs w:val="26"/>
          <w:b/>
          <w:bCs/>
        </w:rPr>
        <w:t xml:space="preserve">ماده ۹ — تعهدات پیش‌خریدار</w:t>
      </w:r>
    </w:p>
    <w:p>
      <w:pPr>
        <w:bidi/>
        <w:jc w:val="both"/>
        <w:ind w:right="360"/>
        <w:spacing w:before="0" w:after="60" w:line="300" w:lineRule="auto"/>
        <w:rPr>
          <w:rtl/>
          <w:sz w:val="22"/>
        </w:rPr>
      </w:pPr>
      <w:r>
        <w:rPr>
          <w:rFonts w:ascii="Tahoma" w:hAnsi="Tahoma" w:cs="Tahoma"/>
          <w:rtl/>
          <w:sz w:val="22"/>
          <w:szCs w:val="22"/>
        </w:rPr>
        <w:t xml:space="preserve">•  پرداخت اقساط ثمن در مواعد مقرر ماده 4 پس از تأیید ناظر.</w:t>
      </w:r>
    </w:p>
    <w:p>
      <w:pPr>
        <w:bidi/>
        <w:jc w:val="both"/>
        <w:ind w:right="360"/>
        <w:spacing w:before="0" w:after="60" w:line="300" w:lineRule="auto"/>
        <w:rPr>
          <w:rtl/>
          <w:sz w:val="22"/>
        </w:rPr>
      </w:pPr>
      <w:r>
        <w:rPr>
          <w:rFonts w:ascii="Tahoma" w:hAnsi="Tahoma" w:cs="Tahoma"/>
          <w:rtl/>
          <w:sz w:val="22"/>
          <w:szCs w:val="22"/>
        </w:rPr>
        <w:t xml:space="preserve">•  حضور در دفترخانه در تاریخ اعلامی برای تنظیم سند.</w:t>
      </w:r>
    </w:p>
    <w:p>
      <w:pPr>
        <w:bidi/>
        <w:jc w:val="both"/>
        <w:ind w:right="360"/>
        <w:spacing w:before="0" w:after="60" w:line="300" w:lineRule="auto"/>
        <w:rPr>
          <w:rtl/>
          <w:sz w:val="22"/>
        </w:rPr>
      </w:pPr>
      <w:r>
        <w:rPr>
          <w:rFonts w:ascii="Tahoma" w:hAnsi="Tahoma" w:cs="Tahoma"/>
          <w:rtl/>
          <w:sz w:val="22"/>
          <w:szCs w:val="22"/>
        </w:rPr>
        <w:t xml:space="preserve">•  تحویل گرفتن واحد در موعد اعلامی و تنظیم صورت‌جلسه تحویل.</w:t>
      </w:r>
    </w:p>
    <w:p>
      <w:pPr>
        <w:bidi/>
        <w:jc w:val="both"/>
        <w:ind w:right="360"/>
        <w:spacing w:before="0" w:after="60" w:line="300" w:lineRule="auto"/>
        <w:rPr>
          <w:rtl/>
          <w:sz w:val="22"/>
        </w:rPr>
      </w:pPr>
      <w:r>
        <w:rPr>
          <w:rFonts w:ascii="Tahoma" w:hAnsi="Tahoma" w:cs="Tahoma"/>
          <w:rtl/>
          <w:sz w:val="22"/>
          <w:szCs w:val="22"/>
        </w:rPr>
        <w:t xml:space="preserve">•  پرداخت هزینه انشعابات اختصاصی و شارژ از تاریخ تحویل.</w:t>
      </w:r>
    </w:p>
    <w:p>
      <w:pPr>
        <w:bidi/>
        <w:jc w:val="both"/>
        <w:ind w:right="360"/>
        <w:spacing w:before="0" w:after="60" w:line="300" w:lineRule="auto"/>
        <w:rPr>
          <w:rtl/>
          <w:sz w:val="22"/>
        </w:rPr>
      </w:pPr>
      <w:r>
        <w:rPr>
          <w:rFonts w:ascii="Tahoma" w:hAnsi="Tahoma" w:cs="Tahoma"/>
          <w:rtl/>
          <w:sz w:val="22"/>
          <w:szCs w:val="22"/>
        </w:rPr>
        <w:t xml:space="preserve">•  پرداخت مالیات و عوارض متعلق به سهم خود مطابق مقررات.</w:t>
      </w:r>
    </w:p>
    <w:p>
      <w:pPr>
        <w:bidi/>
        <w:jc w:val="both"/>
        <w:spacing w:before="240" w:after="120" w:line="300" w:lineRule="auto"/>
        <w:rPr>
          <w:rtl/>
          <w:sz w:val="26"/>
        </w:rPr>
      </w:pPr>
      <w:r>
        <w:rPr>
          <w:rFonts w:ascii="Tahoma" w:hAnsi="Tahoma" w:cs="Tahoma"/>
          <w:rtl/>
          <w:sz w:val="26"/>
          <w:szCs w:val="26"/>
          <w:b/>
          <w:bCs/>
        </w:rPr>
        <w:t xml:space="preserve">ماده ۱۰ — جریمه تأخیر</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نوع تأخیر</w:t>
            </w:r>
          </w:p>
        </w:tc>
        <w:tc>
          <w:tcPr>
            <w:shd w:val="clear" w:fill="F2EAD8"/>
          </w:tcPr>
          <w:p>
            <w:pPr>
              <w:bidi/>
              <w:jc w:val="both"/>
              <w:spacing w:before="0" w:after="0" w:line="300" w:lineRule="auto"/>
              <w:rPr>
                <w:rtl/>
                <w:sz w:val="20"/>
              </w:rPr>
            </w:pPr>
            <w:r>
              <w:rPr>
                <w:rFonts w:ascii="Tahoma" w:hAnsi="Tahoma" w:cs="Tahoma"/>
                <w:rtl/>
                <w:sz w:val="20"/>
                <w:szCs w:val="20"/>
                <w:b/>
                <w:bCs/>
              </w:rPr>
              <w:t xml:space="preserve">وجه التزام</w:t>
            </w:r>
          </w:p>
        </w:tc>
        <w:tc>
          <w:tcPr>
            <w:shd w:val="clear" w:fill="F2EAD8"/>
          </w:tcPr>
          <w:p>
            <w:pPr>
              <w:bidi/>
              <w:jc w:val="both"/>
              <w:spacing w:before="0" w:after="0" w:line="300" w:lineRule="auto"/>
              <w:rPr>
                <w:rtl/>
                <w:sz w:val="20"/>
              </w:rPr>
            </w:pPr>
            <w:r>
              <w:rPr>
                <w:rFonts w:ascii="Tahoma" w:hAnsi="Tahoma" w:cs="Tahoma"/>
                <w:rtl/>
                <w:sz w:val="20"/>
                <w:szCs w:val="20"/>
                <w:b/>
                <w:bCs/>
              </w:rPr>
              <w:t xml:space="preserve">سقف</w:t>
            </w:r>
          </w:p>
        </w:tc>
      </w:tr>
      <w:tr>
        <w:tc>
          <w:p>
            <w:pPr>
              <w:bidi/>
              <w:jc w:val="both"/>
              <w:spacing w:before="0" w:after="0" w:line="300" w:lineRule="auto"/>
              <w:rPr>
                <w:rtl/>
                <w:sz w:val="20"/>
              </w:rPr>
            </w:pPr>
            <w:r>
              <w:rPr>
                <w:rFonts w:ascii="Tahoma" w:hAnsi="Tahoma" w:cs="Tahoma"/>
                <w:rtl/>
                <w:sz w:val="20"/>
                <w:szCs w:val="20"/>
              </w:rPr>
              <w:t xml:space="preserve">تأخیر پیش‌فروشنده در تحویل واحد</w:t>
            </w:r>
          </w:p>
        </w:tc>
        <w:tc>
          <w:p>
            <w:pPr>
              <w:bidi/>
              <w:jc w:val="both"/>
              <w:spacing w:before="0" w:after="0" w:line="300" w:lineRule="auto"/>
              <w:rPr>
                <w:rtl/>
                <w:sz w:val="20"/>
              </w:rPr>
            </w:pPr>
            <w:r>
              <w:rPr>
                <w:rFonts w:ascii="Tahoma" w:hAnsi="Tahoma" w:cs="Tahoma"/>
                <w:rtl/>
                <w:sz w:val="20"/>
                <w:szCs w:val="20"/>
              </w:rPr>
              <w:t xml:space="preserve">به ازای هر روز ............ ریال</w:t>
            </w:r>
          </w:p>
        </w:tc>
        <w:tc>
          <w:p>
            <w:pPr>
              <w:bidi/>
              <w:jc w:val="both"/>
              <w:spacing w:before="0" w:after="0" w:line="300" w:lineRule="auto"/>
              <w:rPr>
                <w:rtl/>
                <w:sz w:val="20"/>
              </w:rPr>
            </w:pPr>
            <w:r>
              <w:rPr>
                <w:rFonts w:ascii="Tahoma" w:hAnsi="Tahoma" w:cs="Tahoma"/>
                <w:rtl/>
                <w:sz w:val="20"/>
                <w:szCs w:val="20"/>
              </w:rPr>
              <w:t xml:space="preserve">بدون سقف تا زمان تحویل</w:t>
            </w:r>
          </w:p>
        </w:tc>
      </w:tr>
      <w:tr>
        <w:tc>
          <w:p>
            <w:pPr>
              <w:bidi/>
              <w:jc w:val="both"/>
              <w:spacing w:before="0" w:after="0" w:line="300" w:lineRule="auto"/>
              <w:rPr>
                <w:rtl/>
                <w:sz w:val="20"/>
              </w:rPr>
            </w:pPr>
            <w:r>
              <w:rPr>
                <w:rFonts w:ascii="Tahoma" w:hAnsi="Tahoma" w:cs="Tahoma"/>
                <w:rtl/>
                <w:sz w:val="20"/>
                <w:szCs w:val="20"/>
              </w:rPr>
              <w:t xml:space="preserve">تأخیر پیش‌فروشنده در تنظیم سند رسمی</w:t>
            </w:r>
          </w:p>
        </w:tc>
        <w:tc>
          <w:p>
            <w:pPr>
              <w:bidi/>
              <w:jc w:val="both"/>
              <w:spacing w:before="0" w:after="0" w:line="300" w:lineRule="auto"/>
              <w:rPr>
                <w:rtl/>
                <w:sz w:val="20"/>
              </w:rPr>
            </w:pPr>
            <w:r>
              <w:rPr>
                <w:rFonts w:ascii="Tahoma" w:hAnsi="Tahoma" w:cs="Tahoma"/>
                <w:rtl/>
                <w:sz w:val="20"/>
                <w:szCs w:val="20"/>
              </w:rPr>
              <w:t xml:space="preserve">به ازای هر روز ............ ریال</w:t>
            </w:r>
          </w:p>
        </w:tc>
        <w:tc>
          <w:p>
            <w:pPr>
              <w:bidi/>
              <w:jc w:val="both"/>
              <w:spacing w:before="0" w:after="0" w:line="300" w:lineRule="auto"/>
              <w:rPr>
                <w:rtl/>
                <w:sz w:val="20"/>
              </w:rPr>
            </w:pPr>
            <w:r>
              <w:rPr>
                <w:rFonts w:ascii="Tahoma" w:hAnsi="Tahoma" w:cs="Tahoma"/>
                <w:rtl/>
                <w:sz w:val="20"/>
                <w:szCs w:val="20"/>
              </w:rPr>
              <w:t xml:space="preserve">بدون سقف تا تنظیم سند</w:t>
            </w:r>
          </w:p>
        </w:tc>
      </w:tr>
      <w:tr>
        <w:tc>
          <w:p>
            <w:pPr>
              <w:bidi/>
              <w:jc w:val="both"/>
              <w:spacing w:before="0" w:after="0" w:line="300" w:lineRule="auto"/>
              <w:rPr>
                <w:rtl/>
                <w:sz w:val="20"/>
              </w:rPr>
            </w:pPr>
            <w:r>
              <w:rPr>
                <w:rFonts w:ascii="Tahoma" w:hAnsi="Tahoma" w:cs="Tahoma"/>
                <w:rtl/>
                <w:sz w:val="20"/>
                <w:szCs w:val="20"/>
              </w:rPr>
              <w:t xml:space="preserve">تأخیر پیش‌خریدار در پرداخت اقساط</w:t>
            </w:r>
          </w:p>
        </w:tc>
        <w:tc>
          <w:p>
            <w:pPr>
              <w:bidi/>
              <w:jc w:val="both"/>
              <w:spacing w:before="0" w:after="0" w:line="300" w:lineRule="auto"/>
              <w:rPr>
                <w:rtl/>
                <w:sz w:val="20"/>
              </w:rPr>
            </w:pPr>
            <w:r>
              <w:rPr>
                <w:rFonts w:ascii="Tahoma" w:hAnsi="Tahoma" w:cs="Tahoma"/>
                <w:rtl/>
                <w:sz w:val="20"/>
                <w:szCs w:val="20"/>
              </w:rPr>
              <w:t xml:space="preserve">به ازای هر روز ............ ریال</w:t>
            </w:r>
          </w:p>
        </w:tc>
        <w:tc>
          <w:p>
            <w:pPr>
              <w:bidi/>
              <w:jc w:val="both"/>
              <w:spacing w:before="0" w:after="0" w:line="300" w:lineRule="auto"/>
              <w:rPr>
                <w:rtl/>
                <w:sz w:val="20"/>
              </w:rPr>
            </w:pPr>
            <w:r>
              <w:rPr>
                <w:rFonts w:ascii="Tahoma" w:hAnsi="Tahoma" w:cs="Tahoma"/>
                <w:rtl/>
                <w:sz w:val="20"/>
                <w:szCs w:val="20"/>
              </w:rPr>
              <w:t xml:space="preserve">حداکثر 3 ماه؛ پس از آن حق فسخ برای پیش‌فروشنده</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0" w:after="120" w:line="300" w:lineRule="auto"/>
        <w:rPr>
          <w:rtl/>
          <w:sz w:val="22"/>
        </w:rPr>
      </w:pPr>
      <w:r>
        <w:rPr>
          <w:rFonts w:ascii="Tahoma" w:hAnsi="Tahoma" w:cs="Tahoma"/>
          <w:rtl/>
          <w:sz w:val="22"/>
          <w:szCs w:val="22"/>
        </w:rPr>
        <w:t xml:space="preserve">مبالغ درج‌شده در این جدول نمی‌تواند کمتر از نصاب مقرر در ماده 6 قانون پیش‌فروش ساختمان باشد. بر اساس آن ماده، جریمه تأخیر پیش‌فروشنده در تحویل واحد و بخش‌های اختصاصی آن روزانه یک در هزار بهای روز بنا، جریمه تأخیر در انجام تعهدات مربوط به قسمت‌های مشاعی روزانه پنج در ده هزار بهای روز بنا و جریمه تأخیر در تنظیم سند رسمی انتقال روزانه یک در هزار بهای روز بنا است.</w:t>
      </w:r>
    </w:p>
    <w:p>
      <w:pPr>
        <w:bidi/>
        <w:jc w:val="both"/>
        <w:spacing w:before="240" w:after="120" w:line="300" w:lineRule="auto"/>
        <w:rPr>
          <w:rtl/>
          <w:sz w:val="26"/>
        </w:rPr>
      </w:pPr>
      <w:r>
        <w:rPr>
          <w:rFonts w:ascii="Tahoma" w:hAnsi="Tahoma" w:cs="Tahoma"/>
          <w:rtl/>
          <w:sz w:val="26"/>
          <w:szCs w:val="26"/>
          <w:b/>
          <w:bCs/>
        </w:rPr>
        <w:t xml:space="preserve">ماده ۱۱ — دوره تضمین و رفع نواقص</w:t>
      </w:r>
    </w:p>
    <w:p>
      <w:pPr>
        <w:bidi/>
        <w:jc w:val="both"/>
        <w:spacing w:before="0" w:after="120" w:line="300" w:lineRule="auto"/>
        <w:rPr>
          <w:rtl/>
          <w:sz w:val="22"/>
        </w:rPr>
      </w:pPr>
      <w:r>
        <w:rPr>
          <w:rFonts w:ascii="Tahoma" w:hAnsi="Tahoma" w:cs="Tahoma"/>
          <w:rtl/>
          <w:sz w:val="22"/>
          <w:szCs w:val="22"/>
        </w:rPr>
        <w:t xml:space="preserve">پیش‌فروشنده مسئول رفع نواقص و معایب ناشی از اجرا و مصالح، به مدت 2 سال از تاریخ تحویل، و مسئول عیوب سازه‌ای و پنهان به مدت 10 سال مطابق مقررات است. نواقص ثبت‌شده در صورت‌جلسه تحویل باید ظرف 30 روز رفع شود. تحویل واحد، به معنای صرف‌نظر پیش‌خریدار از نواقص ثبت‌شده نیست.</w:t>
      </w:r>
    </w:p>
    <w:p>
      <w:pPr>
        <w:bidi/>
        <w:jc w:val="both"/>
        <w:spacing w:before="240" w:after="120" w:line="300" w:lineRule="auto"/>
        <w:rPr>
          <w:rtl/>
          <w:sz w:val="26"/>
        </w:rPr>
      </w:pPr>
      <w:r>
        <w:rPr>
          <w:rFonts w:ascii="Tahoma" w:hAnsi="Tahoma" w:cs="Tahoma"/>
          <w:rtl/>
          <w:sz w:val="26"/>
          <w:szCs w:val="26"/>
          <w:b/>
          <w:bCs/>
        </w:rPr>
        <w:t xml:space="preserve">ماده ۱۲ — انتقال قرارداد به ثالث</w:t>
      </w:r>
    </w:p>
    <w:p>
      <w:pPr>
        <w:bidi/>
        <w:jc w:val="both"/>
        <w:spacing w:before="0" w:after="120" w:line="300" w:lineRule="auto"/>
        <w:rPr>
          <w:rtl/>
          <w:sz w:val="22"/>
        </w:rPr>
      </w:pPr>
      <w:r>
        <w:rPr>
          <w:rFonts w:ascii="Tahoma" w:hAnsi="Tahoma" w:cs="Tahoma"/>
          <w:rtl/>
          <w:sz w:val="22"/>
          <w:szCs w:val="22"/>
        </w:rPr>
        <w:t xml:space="preserve">پیش‌خریدار می‌تواند تمام یا بخشی از حقوق خود را با تنظیم سند رسمی در همان دفترخانه به ثالث منتقل کند. انتقال بدون ثبت رسمی، در برابر پیش‌فروشنده معتبر نیست. پیش‌فروشنده حق دریافت هیچ وجهی بابت این انتقال را ندارد، مگر آنکه در ضمیمه شماره 2 مبلغ مشخصی توافق شده باشد.</w:t>
      </w:r>
    </w:p>
    <w:p>
      <w:pPr>
        <w:bidi/>
        <w:jc w:val="both"/>
        <w:spacing w:before="240" w:after="120" w:line="300" w:lineRule="auto"/>
        <w:rPr>
          <w:rtl/>
          <w:sz w:val="26"/>
        </w:rPr>
      </w:pPr>
      <w:r>
        <w:rPr>
          <w:rFonts w:ascii="Tahoma" w:hAnsi="Tahoma" w:cs="Tahoma"/>
          <w:rtl/>
          <w:sz w:val="26"/>
          <w:szCs w:val="26"/>
          <w:b/>
          <w:bCs/>
        </w:rPr>
        <w:t xml:space="preserve">ماده ۱۳ — فسخ و انفساخ</w:t>
      </w:r>
    </w:p>
    <w:p>
      <w:pPr>
        <w:bidi/>
        <w:jc w:val="both"/>
        <w:ind w:right="360"/>
        <w:spacing w:before="0" w:after="60" w:line="300" w:lineRule="auto"/>
        <w:rPr>
          <w:rtl/>
          <w:sz w:val="22"/>
        </w:rPr>
      </w:pPr>
      <w:r>
        <w:rPr>
          <w:rFonts w:ascii="Tahoma" w:hAnsi="Tahoma" w:cs="Tahoma"/>
          <w:rtl/>
          <w:sz w:val="22"/>
          <w:szCs w:val="22"/>
        </w:rPr>
        <w:t xml:space="preserve">•  تأخیر پیش‌فروشنده در تحویل بیش از ............ ماه نسبت به موعد ماده 5، به پیش‌خریدار حق فسخ می‌دهد.</w:t>
      </w:r>
    </w:p>
    <w:p>
      <w:pPr>
        <w:bidi/>
        <w:jc w:val="both"/>
        <w:ind w:right="360"/>
        <w:spacing w:before="0" w:after="60" w:line="300" w:lineRule="auto"/>
        <w:rPr>
          <w:rtl/>
          <w:sz w:val="22"/>
        </w:rPr>
      </w:pPr>
      <w:r>
        <w:rPr>
          <w:rFonts w:ascii="Tahoma" w:hAnsi="Tahoma" w:cs="Tahoma"/>
          <w:rtl/>
          <w:sz w:val="22"/>
          <w:szCs w:val="22"/>
        </w:rPr>
        <w:t xml:space="preserve">•  تأخیر پیش‌خریدار در پرداخت بیش از 3 ماه، پس از اخطار کتبی 30 روزه، به پیش‌فروشنده حق فسخ می‌دهد.</w:t>
      </w:r>
    </w:p>
    <w:p>
      <w:pPr>
        <w:bidi/>
        <w:jc w:val="both"/>
        <w:ind w:right="360"/>
        <w:spacing w:before="0" w:after="60" w:line="300" w:lineRule="auto"/>
        <w:rPr>
          <w:rtl/>
          <w:sz w:val="22"/>
        </w:rPr>
      </w:pPr>
      <w:r>
        <w:rPr>
          <w:rFonts w:ascii="Tahoma" w:hAnsi="Tahoma" w:cs="Tahoma"/>
          <w:rtl/>
          <w:sz w:val="22"/>
          <w:szCs w:val="22"/>
        </w:rPr>
        <w:t xml:space="preserve">•  توقف پروژه بیش از 6 ماه به دلیل تخلف پیش‌فروشنده، موجب حق فسخ برای پیش‌خریدار است.</w:t>
      </w:r>
    </w:p>
    <w:p>
      <w:pPr>
        <w:bidi/>
        <w:jc w:val="both"/>
        <w:ind w:right="360"/>
        <w:spacing w:before="0" w:after="60" w:line="300" w:lineRule="auto"/>
        <w:rPr>
          <w:rtl/>
          <w:sz w:val="22"/>
        </w:rPr>
      </w:pPr>
      <w:r>
        <w:rPr>
          <w:rFonts w:ascii="Tahoma" w:hAnsi="Tahoma" w:cs="Tahoma"/>
          <w:rtl/>
          <w:sz w:val="22"/>
          <w:szCs w:val="22"/>
        </w:rPr>
        <w:t xml:space="preserve">•  در صورت فسخ به تقصیر پیش‌فروشنده، تمام وجوه دریافتی به نرخ روز واحد و به‌علاوه خسارت مسترد می‌شود.</w:t>
      </w:r>
    </w:p>
    <w:p>
      <w:pPr>
        <w:bidi/>
        <w:jc w:val="both"/>
        <w:ind w:right="360"/>
        <w:spacing w:before="0" w:after="60" w:line="300" w:lineRule="auto"/>
        <w:rPr>
          <w:rtl/>
          <w:sz w:val="22"/>
        </w:rPr>
      </w:pPr>
      <w:r>
        <w:rPr>
          <w:rFonts w:ascii="Tahoma" w:hAnsi="Tahoma" w:cs="Tahoma"/>
          <w:rtl/>
          <w:sz w:val="22"/>
          <w:szCs w:val="22"/>
        </w:rPr>
        <w:t xml:space="preserve">•  در صورت فسخ به تقصیر پیش‌خریدار، وجوه پرداختی پس از کسر ............ درصد خسارت مسترد می‌شود.</w:t>
      </w:r>
    </w:p>
    <w:p>
      <w:pPr>
        <w:bidi/>
        <w:jc w:val="both"/>
        <w:spacing w:before="240" w:after="120" w:line="300" w:lineRule="auto"/>
        <w:rPr>
          <w:rtl/>
          <w:sz w:val="26"/>
        </w:rPr>
      </w:pPr>
      <w:r>
        <w:rPr>
          <w:rFonts w:ascii="Tahoma" w:hAnsi="Tahoma" w:cs="Tahoma"/>
          <w:rtl/>
          <w:sz w:val="26"/>
          <w:szCs w:val="26"/>
          <w:b/>
          <w:bCs/>
        </w:rPr>
        <w:t xml:space="preserve">ماده ۱۴ — حل اختلاف و نسخ قرارداد</w:t>
      </w:r>
    </w:p>
    <w:p>
      <w:pPr>
        <w:bidi/>
        <w:jc w:val="both"/>
        <w:spacing w:before="0" w:after="120" w:line="300" w:lineRule="auto"/>
        <w:rPr>
          <w:rtl/>
          <w:sz w:val="22"/>
        </w:rPr>
      </w:pPr>
      <w:r>
        <w:rPr>
          <w:rFonts w:ascii="Tahoma" w:hAnsi="Tahoma" w:cs="Tahoma"/>
          <w:rtl/>
          <w:sz w:val="22"/>
          <w:szCs w:val="22"/>
        </w:rPr>
        <w:t xml:space="preserve">اختلافات ناشی از این قرارداد ابتدا از طریق مذاکره و در صورت عدم توافق ظرف 30 روز، از طریق داوری هیئت داوران موضوع قانون پیش‌فروش ساختمان حل می‌شود. این قرارداد در 14 ماده و ............ نسخه با اعتبار یکسان در دفتر اسناد رسمی شماره ............ تهران تنظیم و مبادله شد. ضمیمه شماره 1 (مشخصات فنی و مصالح)، ضمیمه شماره 2 (نقشه واحد و موقعیت پارکینگ) و ضمیمه شماره 3 (جدول زمان‌بندی) جزء لاینفک آن است.</w:t>
      </w:r>
    </w:p>
    <w:p>
      <w:pPr>
        <w:bidi/>
        <w:jc w:val="both"/>
        <w:spacing w:before="0" w:after="120" w:line="300" w:lineRule="auto"/>
        <w:rPr>
          <w:rtl/>
          <w:sz w:val="22"/>
        </w:rPr>
      </w:pPr>
      <w:r>
        <w:rPr>
          <w:rFonts w:ascii="Tahoma" w:hAnsi="Tahoma" w:cs="Tahoma"/>
          <w:rtl/>
          <w:sz w:val="22"/>
          <w:szCs w:val="22"/>
        </w:rPr>
        <w:t xml:space="preserve">تنظیم قرارداد پیش‌فروش به‌صورت عادی و خارج از دفتر اسناد رسمی، حقوق پیش‌خریدار را در برابر انتقال مجدد واحد به ثالث تضمین نمی‌کند.</w:t>
      </w:r>
    </w:p>
    <w:p>
      <w:pPr>
        <w:bidi/>
        <w:jc w:val="both"/>
        <w:spacing w:before="480" w:after="0" w:line="300" w:lineRule="auto"/>
        <w:rPr>
          <w:rtl/>
          <w:sz w:val="22"/>
        </w:rPr>
      </w:pPr>
      <w:r>
        <w:rPr>
          <w:rFonts w:ascii="Tahoma" w:hAnsi="Tahoma" w:cs="Tahoma"/>
          <w:rtl/>
          <w:sz w:val="22"/>
          <w:szCs w:val="22"/>
        </w:rPr>
        <w:t xml:space="preserve"/>
      </w:r>
    </w:p>
    <w:tbl>
      <w:tblPr>
        <w:bidiVisual/>
        <w:tblW w:w="5000" w:type="pct"/>
      </w:tblPr>
      <w:tr>
        <w:tc>
          <w:p>
            <w:pPr>
              <w:bidi/>
              <w:jc w:val="center"/>
              <w:spacing w:before="0" w:after="0" w:line="300" w:lineRule="auto"/>
              <w:rPr>
                <w:rtl/>
                <w:sz w:val="20"/>
              </w:rPr>
            </w:pPr>
            <w:r>
              <w:rPr>
                <w:rFonts w:ascii="Tahoma" w:hAnsi="Tahoma" w:cs="Tahoma"/>
                <w:rtl/>
                <w:sz w:val="20"/>
                <w:szCs w:val="20"/>
              </w:rPr>
              <w:t xml:space="preserve">پیش‌فروشنده</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پیش‌خریدار</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سردفتر اسناد رسمی</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r>
    </w:tbl>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